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ABB1A" w14:textId="1090DEC2" w:rsidR="000C36F8" w:rsidRDefault="000C36F8" w:rsidP="00EB4E79">
      <w:pPr>
        <w:ind w:left="-142" w:right="-330"/>
        <w:rPr>
          <w:rFonts w:cs="Times New Roman"/>
          <w:b/>
          <w:sz w:val="24"/>
          <w:szCs w:val="24"/>
        </w:rPr>
      </w:pPr>
      <w:r w:rsidRPr="00EB4E79">
        <w:rPr>
          <w:rFonts w:cs="Times New Roman"/>
          <w:b/>
          <w:sz w:val="28"/>
          <w:szCs w:val="28"/>
        </w:rPr>
        <w:t>Irish 4</w:t>
      </w:r>
      <w:r w:rsidRPr="00EB4E79">
        <w:rPr>
          <w:rFonts w:cs="Times New Roman"/>
          <w:b/>
          <w:sz w:val="28"/>
          <w:szCs w:val="28"/>
          <w:vertAlign w:val="superscript"/>
        </w:rPr>
        <w:t>th</w:t>
      </w:r>
      <w:r w:rsidRPr="00EB4E79">
        <w:rPr>
          <w:rFonts w:cs="Times New Roman"/>
          <w:b/>
          <w:sz w:val="28"/>
          <w:szCs w:val="28"/>
        </w:rPr>
        <w:t xml:space="preserve"> class Students Best in Reading in Europe - </w:t>
      </w:r>
      <w:r w:rsidR="00FB0F8E" w:rsidRPr="00EB4E79">
        <w:rPr>
          <w:rFonts w:cs="Times New Roman"/>
          <w:b/>
          <w:sz w:val="28"/>
          <w:szCs w:val="28"/>
        </w:rPr>
        <w:t>Minister Bruton</w:t>
      </w:r>
      <w:r w:rsidR="00FB0F8E">
        <w:rPr>
          <w:rFonts w:cs="Times New Roman"/>
          <w:b/>
          <w:sz w:val="24"/>
          <w:szCs w:val="24"/>
        </w:rPr>
        <w:t xml:space="preserve"> </w:t>
      </w:r>
    </w:p>
    <w:p w14:paraId="3C946731" w14:textId="77777777" w:rsidR="00EB4E79" w:rsidRDefault="000C36F8" w:rsidP="00EB4E79">
      <w:pPr>
        <w:ind w:left="-142" w:right="-330"/>
        <w:rPr>
          <w:rFonts w:cs="Times New Roman"/>
          <w:b/>
        </w:rPr>
      </w:pPr>
      <w:r>
        <w:rPr>
          <w:rFonts w:cs="Times New Roman"/>
          <w:b/>
        </w:rPr>
        <w:t>International survey shows reading skills of Irish pupils has improved significantly since 2011</w:t>
      </w:r>
    </w:p>
    <w:p w14:paraId="751F1E26" w14:textId="1E1B0B94" w:rsidR="004A524F" w:rsidRDefault="000C36F8" w:rsidP="00EB4E79">
      <w:pPr>
        <w:ind w:left="-142" w:right="-330"/>
        <w:rPr>
          <w:rFonts w:cs="Times New Roman"/>
          <w:sz w:val="24"/>
          <w:szCs w:val="24"/>
        </w:rPr>
      </w:pPr>
      <w:r>
        <w:rPr>
          <w:rFonts w:cs="Times New Roman"/>
          <w:sz w:val="24"/>
          <w:szCs w:val="24"/>
        </w:rPr>
        <w:t xml:space="preserve">The </w:t>
      </w:r>
      <w:r w:rsidR="00107BBB" w:rsidRPr="00107BBB">
        <w:rPr>
          <w:rFonts w:cs="Times New Roman"/>
          <w:sz w:val="24"/>
          <w:szCs w:val="24"/>
        </w:rPr>
        <w:t>Minister for Education and Skills, Richard Bruton T</w:t>
      </w:r>
      <w:r w:rsidR="0028179B">
        <w:rPr>
          <w:rFonts w:cs="Times New Roman"/>
          <w:sz w:val="24"/>
          <w:szCs w:val="24"/>
        </w:rPr>
        <w:t>.</w:t>
      </w:r>
      <w:r w:rsidR="00107BBB" w:rsidRPr="00107BBB">
        <w:rPr>
          <w:rFonts w:cs="Times New Roman"/>
          <w:sz w:val="24"/>
          <w:szCs w:val="24"/>
        </w:rPr>
        <w:t>D</w:t>
      </w:r>
      <w:r w:rsidR="0028179B">
        <w:rPr>
          <w:rFonts w:cs="Times New Roman"/>
          <w:sz w:val="24"/>
          <w:szCs w:val="24"/>
        </w:rPr>
        <w:t>.</w:t>
      </w:r>
      <w:r w:rsidR="00107BBB" w:rsidRPr="00107BBB">
        <w:rPr>
          <w:rFonts w:cs="Times New Roman"/>
          <w:sz w:val="24"/>
          <w:szCs w:val="24"/>
        </w:rPr>
        <w:t xml:space="preserve">, today </w:t>
      </w:r>
      <w:r w:rsidR="00DE2483">
        <w:rPr>
          <w:rFonts w:cs="Times New Roman"/>
          <w:sz w:val="24"/>
          <w:szCs w:val="24"/>
        </w:rPr>
        <w:t xml:space="preserve">launched </w:t>
      </w:r>
      <w:r>
        <w:rPr>
          <w:rFonts w:cs="Times New Roman"/>
          <w:sz w:val="24"/>
          <w:szCs w:val="24"/>
        </w:rPr>
        <w:t xml:space="preserve">the </w:t>
      </w:r>
      <w:r w:rsidR="00AB6A50">
        <w:rPr>
          <w:rFonts w:cs="Times New Roman"/>
          <w:sz w:val="24"/>
          <w:szCs w:val="24"/>
        </w:rPr>
        <w:t xml:space="preserve">2016 </w:t>
      </w:r>
      <w:r w:rsidR="00AB6A50" w:rsidRPr="00AB6A50">
        <w:rPr>
          <w:rFonts w:cs="Times New Roman"/>
          <w:sz w:val="24"/>
          <w:szCs w:val="24"/>
        </w:rPr>
        <w:t>PIRLS (the Progress in International Reading Literacy Study)</w:t>
      </w:r>
      <w:r w:rsidR="00AB6A50">
        <w:rPr>
          <w:rFonts w:cs="Times New Roman"/>
          <w:sz w:val="24"/>
          <w:szCs w:val="24"/>
        </w:rPr>
        <w:t xml:space="preserve"> </w:t>
      </w:r>
      <w:r w:rsidR="004A524F">
        <w:rPr>
          <w:rFonts w:cs="Times New Roman"/>
          <w:sz w:val="24"/>
          <w:szCs w:val="24"/>
        </w:rPr>
        <w:t>report</w:t>
      </w:r>
      <w:r>
        <w:rPr>
          <w:rFonts w:cs="Times New Roman"/>
          <w:sz w:val="24"/>
          <w:szCs w:val="24"/>
        </w:rPr>
        <w:t>,</w:t>
      </w:r>
      <w:r w:rsidR="00D019E6" w:rsidRPr="00D019E6">
        <w:rPr>
          <w:rFonts w:cs="Times New Roman"/>
          <w:sz w:val="24"/>
          <w:szCs w:val="24"/>
        </w:rPr>
        <w:t xml:space="preserve"> which shows that Ireland’s primary school children are best in Europe and OECD countries for reading skills</w:t>
      </w:r>
      <w:r w:rsidR="00D019E6">
        <w:rPr>
          <w:rFonts w:cs="Times New Roman"/>
          <w:sz w:val="24"/>
          <w:szCs w:val="24"/>
        </w:rPr>
        <w:t xml:space="preserve">. </w:t>
      </w:r>
    </w:p>
    <w:p w14:paraId="157EEA74" w14:textId="08DE05F9" w:rsidR="00F54F5A" w:rsidRDefault="00B55795" w:rsidP="00F54F5A">
      <w:pPr>
        <w:ind w:left="-142" w:right="-330"/>
        <w:rPr>
          <w:rFonts w:cs="Times New Roman"/>
          <w:sz w:val="24"/>
          <w:szCs w:val="24"/>
        </w:rPr>
      </w:pPr>
      <w:r>
        <w:rPr>
          <w:rFonts w:cs="Times New Roman"/>
          <w:sz w:val="24"/>
          <w:szCs w:val="24"/>
        </w:rPr>
        <w:t>PIRLS is an international study</w:t>
      </w:r>
      <w:r w:rsidR="000C36F8">
        <w:rPr>
          <w:rFonts w:cs="Times New Roman"/>
          <w:sz w:val="24"/>
          <w:szCs w:val="24"/>
        </w:rPr>
        <w:t xml:space="preserve"> which examines </w:t>
      </w:r>
      <w:r w:rsidR="004A524F">
        <w:rPr>
          <w:rFonts w:cs="Times New Roman"/>
          <w:sz w:val="24"/>
          <w:szCs w:val="24"/>
        </w:rPr>
        <w:t>fifty</w:t>
      </w:r>
      <w:r w:rsidR="00C95528">
        <w:rPr>
          <w:rFonts w:cs="Times New Roman"/>
          <w:sz w:val="24"/>
          <w:szCs w:val="24"/>
        </w:rPr>
        <w:t xml:space="preserve"> countries every </w:t>
      </w:r>
      <w:r w:rsidR="004A524F">
        <w:rPr>
          <w:rFonts w:cs="Times New Roman"/>
          <w:sz w:val="24"/>
          <w:szCs w:val="24"/>
        </w:rPr>
        <w:t xml:space="preserve">five </w:t>
      </w:r>
      <w:r w:rsidR="000C36F8">
        <w:rPr>
          <w:rFonts w:cs="Times New Roman"/>
          <w:sz w:val="24"/>
          <w:szCs w:val="24"/>
        </w:rPr>
        <w:t xml:space="preserve">years and reports on the </w:t>
      </w:r>
      <w:r w:rsidR="00D7156C">
        <w:rPr>
          <w:rFonts w:cs="Times New Roman"/>
          <w:sz w:val="24"/>
          <w:szCs w:val="24"/>
        </w:rPr>
        <w:t xml:space="preserve">reading </w:t>
      </w:r>
      <w:r w:rsidR="002645CB" w:rsidRPr="002645CB">
        <w:rPr>
          <w:rFonts w:cs="Times New Roman"/>
          <w:sz w:val="24"/>
          <w:szCs w:val="24"/>
        </w:rPr>
        <w:t xml:space="preserve">achievement </w:t>
      </w:r>
      <w:r w:rsidR="00B141B8">
        <w:rPr>
          <w:rFonts w:cs="Times New Roman"/>
          <w:sz w:val="24"/>
          <w:szCs w:val="24"/>
        </w:rPr>
        <w:t xml:space="preserve">of pupils in </w:t>
      </w:r>
      <w:r w:rsidR="006E122B">
        <w:rPr>
          <w:rFonts w:cs="Times New Roman"/>
          <w:sz w:val="24"/>
          <w:szCs w:val="24"/>
        </w:rPr>
        <w:t>Fourth Class</w:t>
      </w:r>
      <w:r w:rsidR="003E6E42">
        <w:rPr>
          <w:rFonts w:cs="Times New Roman"/>
          <w:sz w:val="24"/>
          <w:szCs w:val="24"/>
        </w:rPr>
        <w:t>.</w:t>
      </w:r>
      <w:r w:rsidR="004A524F">
        <w:rPr>
          <w:rFonts w:cs="Times New Roman"/>
          <w:sz w:val="24"/>
          <w:szCs w:val="24"/>
        </w:rPr>
        <w:t xml:space="preserve"> Fourteen</w:t>
      </w:r>
      <w:r w:rsidR="003E6E42">
        <w:rPr>
          <w:rFonts w:cs="Times New Roman"/>
          <w:sz w:val="24"/>
          <w:szCs w:val="24"/>
        </w:rPr>
        <w:t xml:space="preserve"> of these countries, including Ireland, </w:t>
      </w:r>
      <w:r>
        <w:rPr>
          <w:rFonts w:cs="Times New Roman"/>
          <w:sz w:val="24"/>
          <w:szCs w:val="24"/>
        </w:rPr>
        <w:t>last</w:t>
      </w:r>
      <w:r w:rsidR="00AB6A50">
        <w:rPr>
          <w:rFonts w:cs="Times New Roman"/>
          <w:sz w:val="24"/>
          <w:szCs w:val="24"/>
        </w:rPr>
        <w:t xml:space="preserve"> year </w:t>
      </w:r>
      <w:r w:rsidR="003E6E42">
        <w:rPr>
          <w:rFonts w:cs="Times New Roman"/>
          <w:sz w:val="24"/>
          <w:szCs w:val="24"/>
        </w:rPr>
        <w:t>also took part in a new component (ePIRLS)</w:t>
      </w:r>
      <w:r w:rsidR="006947C8">
        <w:rPr>
          <w:rFonts w:cs="Times New Roman"/>
          <w:sz w:val="24"/>
          <w:szCs w:val="24"/>
        </w:rPr>
        <w:t>, which</w:t>
      </w:r>
      <w:r w:rsidR="003E6E42">
        <w:rPr>
          <w:rFonts w:cs="Times New Roman"/>
          <w:sz w:val="24"/>
          <w:szCs w:val="24"/>
        </w:rPr>
        <w:t xml:space="preserve"> assess</w:t>
      </w:r>
      <w:r w:rsidR="006947C8">
        <w:rPr>
          <w:rFonts w:cs="Times New Roman"/>
          <w:sz w:val="24"/>
          <w:szCs w:val="24"/>
        </w:rPr>
        <w:t>es</w:t>
      </w:r>
      <w:r w:rsidR="003E6E42">
        <w:rPr>
          <w:rFonts w:cs="Times New Roman"/>
          <w:sz w:val="24"/>
          <w:szCs w:val="24"/>
        </w:rPr>
        <w:t xml:space="preserve"> reading in an online environment.</w:t>
      </w:r>
    </w:p>
    <w:p w14:paraId="71350377" w14:textId="77777777" w:rsidR="000658E0" w:rsidRDefault="008A269F" w:rsidP="00F54F5A">
      <w:pPr>
        <w:ind w:left="-142" w:right="-330"/>
        <w:rPr>
          <w:rFonts w:cs="Times New Roman"/>
          <w:sz w:val="24"/>
          <w:szCs w:val="24"/>
        </w:rPr>
      </w:pPr>
      <w:r>
        <w:rPr>
          <w:rFonts w:cs="Times New Roman"/>
          <w:sz w:val="24"/>
          <w:szCs w:val="24"/>
        </w:rPr>
        <w:t>Minister Bruton has set the ambition to make Ireland’</w:t>
      </w:r>
      <w:r w:rsidR="000741FE">
        <w:rPr>
          <w:rFonts w:cs="Times New Roman"/>
          <w:sz w:val="24"/>
          <w:szCs w:val="24"/>
        </w:rPr>
        <w:t>s education and t</w:t>
      </w:r>
      <w:r>
        <w:rPr>
          <w:rFonts w:cs="Times New Roman"/>
          <w:sz w:val="24"/>
          <w:szCs w:val="24"/>
        </w:rPr>
        <w:t xml:space="preserve">raining </w:t>
      </w:r>
      <w:r w:rsidR="000741FE">
        <w:rPr>
          <w:rFonts w:cs="Times New Roman"/>
          <w:sz w:val="24"/>
          <w:szCs w:val="24"/>
        </w:rPr>
        <w:t>s</w:t>
      </w:r>
      <w:r>
        <w:rPr>
          <w:rFonts w:cs="Times New Roman"/>
          <w:sz w:val="24"/>
          <w:szCs w:val="24"/>
        </w:rPr>
        <w:t xml:space="preserve">ervice the best in Europe within a decade. Today’s results show that the reading skills of our primary school children, both in the paper based and online assessment are </w:t>
      </w:r>
      <w:r w:rsidR="00C95528">
        <w:rPr>
          <w:rFonts w:cs="Times New Roman"/>
          <w:sz w:val="24"/>
          <w:szCs w:val="24"/>
        </w:rPr>
        <w:t xml:space="preserve">among </w:t>
      </w:r>
      <w:r>
        <w:rPr>
          <w:rFonts w:cs="Times New Roman"/>
          <w:sz w:val="24"/>
          <w:szCs w:val="24"/>
        </w:rPr>
        <w:t xml:space="preserve">the best </w:t>
      </w:r>
      <w:r w:rsidR="00C95528">
        <w:rPr>
          <w:rFonts w:cs="Times New Roman"/>
          <w:sz w:val="24"/>
          <w:szCs w:val="24"/>
        </w:rPr>
        <w:t>in</w:t>
      </w:r>
      <w:r>
        <w:rPr>
          <w:rFonts w:cs="Times New Roman"/>
          <w:sz w:val="24"/>
          <w:szCs w:val="24"/>
        </w:rPr>
        <w:t xml:space="preserve"> all European and OECD countries. </w:t>
      </w:r>
    </w:p>
    <w:p w14:paraId="47E85C8F" w14:textId="213EC0EC" w:rsidR="000658E0" w:rsidRDefault="000658E0" w:rsidP="00F54F5A">
      <w:pPr>
        <w:ind w:left="-142" w:right="-330"/>
        <w:rPr>
          <w:rFonts w:cs="Times New Roman"/>
          <w:sz w:val="24"/>
          <w:szCs w:val="24"/>
          <w:u w:val="single"/>
        </w:rPr>
      </w:pPr>
      <w:r>
        <w:rPr>
          <w:rFonts w:cs="Times New Roman"/>
          <w:sz w:val="24"/>
          <w:szCs w:val="24"/>
          <w:u w:val="single"/>
        </w:rPr>
        <w:t>Key Results</w:t>
      </w:r>
    </w:p>
    <w:p w14:paraId="265BA4DF" w14:textId="75222BB6" w:rsidR="000658E0" w:rsidRPr="000658E0" w:rsidRDefault="000658E0" w:rsidP="000658E0">
      <w:pPr>
        <w:pStyle w:val="ListParagraph"/>
        <w:numPr>
          <w:ilvl w:val="0"/>
          <w:numId w:val="27"/>
        </w:numPr>
        <w:ind w:right="-330"/>
        <w:rPr>
          <w:rFonts w:cs="Times New Roman"/>
          <w:sz w:val="24"/>
          <w:szCs w:val="24"/>
        </w:rPr>
      </w:pPr>
      <w:r>
        <w:rPr>
          <w:rFonts w:cs="Times New Roman"/>
          <w:sz w:val="24"/>
          <w:szCs w:val="24"/>
        </w:rPr>
        <w:t>N</w:t>
      </w:r>
      <w:r w:rsidRPr="000658E0">
        <w:rPr>
          <w:rFonts w:cs="Times New Roman"/>
          <w:sz w:val="24"/>
          <w:szCs w:val="24"/>
        </w:rPr>
        <w:t xml:space="preserve">o country in Europe is better than Ireland for reading skills at primary </w:t>
      </w:r>
      <w:r>
        <w:rPr>
          <w:rFonts w:cs="Times New Roman"/>
          <w:sz w:val="24"/>
          <w:szCs w:val="24"/>
        </w:rPr>
        <w:t>level</w:t>
      </w:r>
    </w:p>
    <w:p w14:paraId="0B698D11" w14:textId="30F25E3A" w:rsidR="000658E0" w:rsidRPr="000658E0" w:rsidRDefault="008A269F" w:rsidP="000658E0">
      <w:pPr>
        <w:pStyle w:val="ListParagraph"/>
        <w:numPr>
          <w:ilvl w:val="0"/>
          <w:numId w:val="27"/>
        </w:numPr>
        <w:ind w:right="-330"/>
        <w:rPr>
          <w:rFonts w:cs="Times New Roman"/>
          <w:sz w:val="24"/>
          <w:szCs w:val="24"/>
        </w:rPr>
      </w:pPr>
      <w:r w:rsidRPr="000658E0">
        <w:rPr>
          <w:rFonts w:cs="Times New Roman"/>
          <w:sz w:val="24"/>
          <w:szCs w:val="24"/>
        </w:rPr>
        <w:t xml:space="preserve">Irish pupils’ overall reading achievement score has improved by 15 points since </w:t>
      </w:r>
      <w:r w:rsidR="000658E0" w:rsidRPr="000658E0">
        <w:rPr>
          <w:rFonts w:cs="Times New Roman"/>
          <w:sz w:val="24"/>
          <w:szCs w:val="24"/>
        </w:rPr>
        <w:t xml:space="preserve">the last cycle of the study which was in </w:t>
      </w:r>
      <w:r w:rsidR="000658E0">
        <w:rPr>
          <w:rFonts w:cs="Times New Roman"/>
          <w:sz w:val="24"/>
          <w:szCs w:val="24"/>
        </w:rPr>
        <w:t>2011</w:t>
      </w:r>
      <w:r w:rsidRPr="000658E0">
        <w:rPr>
          <w:sz w:val="24"/>
          <w:szCs w:val="24"/>
        </w:rPr>
        <w:t xml:space="preserve"> </w:t>
      </w:r>
    </w:p>
    <w:p w14:paraId="1512AC37" w14:textId="5D15A478" w:rsidR="000658E0" w:rsidRPr="000658E0" w:rsidRDefault="00D81EA2" w:rsidP="000658E0">
      <w:pPr>
        <w:pStyle w:val="ListParagraph"/>
        <w:numPr>
          <w:ilvl w:val="0"/>
          <w:numId w:val="27"/>
        </w:numPr>
        <w:ind w:right="-330"/>
        <w:rPr>
          <w:rFonts w:cs="Times New Roman"/>
          <w:sz w:val="24"/>
          <w:szCs w:val="24"/>
        </w:rPr>
      </w:pPr>
      <w:r w:rsidRPr="000658E0">
        <w:rPr>
          <w:sz w:val="24"/>
          <w:szCs w:val="24"/>
        </w:rPr>
        <w:t xml:space="preserve">The gender gap in Ireland is smaller than that the gap internationally. </w:t>
      </w:r>
      <w:r w:rsidR="000658E0">
        <w:rPr>
          <w:sz w:val="24"/>
          <w:szCs w:val="24"/>
        </w:rPr>
        <w:t xml:space="preserve">Furthermore, this </w:t>
      </w:r>
      <w:r w:rsidRPr="000658E0">
        <w:rPr>
          <w:sz w:val="24"/>
          <w:szCs w:val="24"/>
        </w:rPr>
        <w:t>gap has narrowed significantly between 2011 and 2016</w:t>
      </w:r>
      <w:r w:rsidR="000658E0">
        <w:rPr>
          <w:sz w:val="24"/>
          <w:szCs w:val="24"/>
        </w:rPr>
        <w:t xml:space="preserve"> in Ireland</w:t>
      </w:r>
      <w:r w:rsidRPr="000658E0">
        <w:rPr>
          <w:sz w:val="24"/>
          <w:szCs w:val="24"/>
        </w:rPr>
        <w:t xml:space="preserve"> </w:t>
      </w:r>
    </w:p>
    <w:p w14:paraId="43FC4E60" w14:textId="225381C9" w:rsidR="000658E0" w:rsidRPr="000658E0" w:rsidRDefault="000658E0" w:rsidP="000658E0">
      <w:pPr>
        <w:pStyle w:val="ListParagraph"/>
        <w:numPr>
          <w:ilvl w:val="0"/>
          <w:numId w:val="27"/>
        </w:numPr>
        <w:ind w:right="-330"/>
        <w:rPr>
          <w:rFonts w:cs="Times New Roman"/>
          <w:sz w:val="24"/>
          <w:szCs w:val="24"/>
        </w:rPr>
      </w:pPr>
      <w:r>
        <w:rPr>
          <w:sz w:val="24"/>
          <w:szCs w:val="24"/>
        </w:rPr>
        <w:t xml:space="preserve">Since </w:t>
      </w:r>
      <w:r w:rsidR="00D81EA2" w:rsidRPr="000658E0">
        <w:rPr>
          <w:sz w:val="24"/>
          <w:szCs w:val="24"/>
        </w:rPr>
        <w:t>the last study in 2011, the number of pupils in Ireland with only basic reading skills has dropped significantly</w:t>
      </w:r>
      <w:r w:rsidR="00285D0C" w:rsidRPr="000658E0">
        <w:rPr>
          <w:sz w:val="24"/>
          <w:szCs w:val="24"/>
        </w:rPr>
        <w:t xml:space="preserve"> </w:t>
      </w:r>
    </w:p>
    <w:p w14:paraId="18C28615" w14:textId="325EB67E" w:rsidR="000658E0" w:rsidRPr="000658E0" w:rsidRDefault="000658E0" w:rsidP="000658E0">
      <w:pPr>
        <w:pStyle w:val="ListParagraph"/>
        <w:numPr>
          <w:ilvl w:val="0"/>
          <w:numId w:val="27"/>
        </w:numPr>
        <w:ind w:right="-330"/>
        <w:rPr>
          <w:rFonts w:cs="Times New Roman"/>
          <w:sz w:val="24"/>
          <w:szCs w:val="24"/>
        </w:rPr>
      </w:pPr>
      <w:r>
        <w:rPr>
          <w:sz w:val="24"/>
          <w:szCs w:val="24"/>
        </w:rPr>
        <w:t>The</w:t>
      </w:r>
      <w:r w:rsidR="00285D0C" w:rsidRPr="000658E0">
        <w:rPr>
          <w:sz w:val="24"/>
          <w:szCs w:val="24"/>
        </w:rPr>
        <w:t xml:space="preserve"> percentage of Irish pupils who have advanced reading skills rose </w:t>
      </w:r>
      <w:r>
        <w:rPr>
          <w:sz w:val="24"/>
          <w:szCs w:val="24"/>
        </w:rPr>
        <w:t>from 16% in 2011 to 21% in 2016, which is</w:t>
      </w:r>
      <w:r w:rsidR="00285D0C" w:rsidRPr="000658E0">
        <w:rPr>
          <w:sz w:val="24"/>
          <w:szCs w:val="24"/>
        </w:rPr>
        <w:t xml:space="preserve"> much higher than the</w:t>
      </w:r>
      <w:r>
        <w:rPr>
          <w:sz w:val="24"/>
          <w:szCs w:val="24"/>
        </w:rPr>
        <w:t xml:space="preserve"> international average in PIRLS</w:t>
      </w:r>
    </w:p>
    <w:p w14:paraId="4F0A68EF" w14:textId="768BD4D0" w:rsidR="00285D0C" w:rsidRPr="000658E0" w:rsidRDefault="00285D0C" w:rsidP="000658E0">
      <w:pPr>
        <w:pStyle w:val="ListParagraph"/>
        <w:numPr>
          <w:ilvl w:val="0"/>
          <w:numId w:val="27"/>
        </w:numPr>
        <w:ind w:right="-330"/>
        <w:rPr>
          <w:rFonts w:cs="Times New Roman"/>
          <w:sz w:val="24"/>
          <w:szCs w:val="24"/>
        </w:rPr>
      </w:pPr>
      <w:r w:rsidRPr="000658E0">
        <w:rPr>
          <w:sz w:val="24"/>
          <w:szCs w:val="24"/>
        </w:rPr>
        <w:t xml:space="preserve">Irish pupils also performed exceptionally well on the new online reading assessment in ePIRLS. Only one other country (Singapore) outperformed Ireland on this test </w:t>
      </w:r>
    </w:p>
    <w:p w14:paraId="0FDCBD8E" w14:textId="77777777" w:rsidR="000658E0" w:rsidRDefault="00285D0C" w:rsidP="000658E0">
      <w:pPr>
        <w:ind w:left="-142" w:right="-330"/>
        <w:rPr>
          <w:sz w:val="24"/>
          <w:szCs w:val="24"/>
        </w:rPr>
      </w:pPr>
      <w:r>
        <w:rPr>
          <w:sz w:val="24"/>
          <w:szCs w:val="24"/>
        </w:rPr>
        <w:t>PIRLS 2016 data does not compare pupils’ performance in DEIS and non-DEIS schools. However, the most recently available data from the Educational Research Centre indicate that the reading achievement of pupils in DEIS primary schools has continued to improve from 2007 onwards. Much of this improvement has been among lower achievers</w:t>
      </w:r>
      <w:r w:rsidR="001504C3">
        <w:rPr>
          <w:sz w:val="24"/>
          <w:szCs w:val="24"/>
        </w:rPr>
        <w:t xml:space="preserve">. </w:t>
      </w:r>
    </w:p>
    <w:p w14:paraId="6AC7B31C" w14:textId="2260A8B6" w:rsidR="00EB4E79" w:rsidRPr="000658E0" w:rsidRDefault="0069250A" w:rsidP="000658E0">
      <w:pPr>
        <w:ind w:left="-142" w:right="-330"/>
        <w:rPr>
          <w:sz w:val="24"/>
          <w:szCs w:val="24"/>
        </w:rPr>
      </w:pPr>
      <w:r w:rsidRPr="00532D0F">
        <w:rPr>
          <w:rFonts w:cs="Times New Roman"/>
          <w:b/>
          <w:sz w:val="24"/>
          <w:szCs w:val="24"/>
        </w:rPr>
        <w:t>Commenting on the report, Minister Bruton said</w:t>
      </w:r>
      <w:r w:rsidRPr="0028179B">
        <w:rPr>
          <w:rFonts w:cs="Times New Roman"/>
          <w:sz w:val="24"/>
          <w:szCs w:val="24"/>
        </w:rPr>
        <w:t>:</w:t>
      </w:r>
      <w:r>
        <w:rPr>
          <w:rFonts w:cs="Times New Roman"/>
          <w:sz w:val="24"/>
          <w:szCs w:val="24"/>
        </w:rPr>
        <w:t xml:space="preserve"> </w:t>
      </w:r>
    </w:p>
    <w:p w14:paraId="7A1CA64D" w14:textId="77777777" w:rsidR="00D019E6" w:rsidRDefault="0069250A" w:rsidP="00EB4E79">
      <w:pPr>
        <w:ind w:left="-142" w:right="-330"/>
        <w:rPr>
          <w:rFonts w:cs="Times New Roman"/>
          <w:sz w:val="24"/>
          <w:szCs w:val="24"/>
        </w:rPr>
      </w:pPr>
      <w:r>
        <w:rPr>
          <w:rFonts w:cs="Times New Roman"/>
          <w:sz w:val="24"/>
          <w:szCs w:val="24"/>
        </w:rPr>
        <w:t>“</w:t>
      </w:r>
      <w:r w:rsidR="00D019E6">
        <w:rPr>
          <w:rFonts w:cs="Times New Roman"/>
          <w:sz w:val="24"/>
          <w:szCs w:val="24"/>
        </w:rPr>
        <w:t xml:space="preserve">I would like to pay tribute to all principals, teachers and all those who made these fantastic results possible. </w:t>
      </w:r>
    </w:p>
    <w:p w14:paraId="148A8EB5" w14:textId="6DE5968D" w:rsidR="00EB4E79" w:rsidRDefault="00D019E6" w:rsidP="00EB4E79">
      <w:pPr>
        <w:ind w:left="-142" w:right="-330"/>
        <w:rPr>
          <w:rFonts w:cs="Times New Roman"/>
          <w:b/>
        </w:rPr>
      </w:pPr>
      <w:r>
        <w:rPr>
          <w:rFonts w:cs="Times New Roman"/>
          <w:sz w:val="24"/>
          <w:szCs w:val="24"/>
        </w:rPr>
        <w:t>“</w:t>
      </w:r>
      <w:bookmarkStart w:id="0" w:name="_GoBack"/>
      <w:bookmarkEnd w:id="0"/>
      <w:r w:rsidR="000741FE">
        <w:rPr>
          <w:rFonts w:cs="Times New Roman"/>
          <w:sz w:val="24"/>
          <w:szCs w:val="24"/>
        </w:rPr>
        <w:t xml:space="preserve">I have set the ambition to make Ireland’s education and training service the best in Europe by 2026. There are many aspects to achieving this ambition but few are more important than the ability of our education system to equip our children with exceptional literacy skills. I am </w:t>
      </w:r>
      <w:r w:rsidR="000741FE">
        <w:rPr>
          <w:rFonts w:cs="Times New Roman"/>
          <w:sz w:val="24"/>
          <w:szCs w:val="24"/>
        </w:rPr>
        <w:lastRenderedPageBreak/>
        <w:t xml:space="preserve">delighted with the results </w:t>
      </w:r>
      <w:r w:rsidR="00DB121E">
        <w:rPr>
          <w:rFonts w:cs="Times New Roman"/>
          <w:sz w:val="24"/>
          <w:szCs w:val="24"/>
        </w:rPr>
        <w:t>of this internationally recognis</w:t>
      </w:r>
      <w:r w:rsidR="000741FE">
        <w:rPr>
          <w:rFonts w:cs="Times New Roman"/>
          <w:sz w:val="24"/>
          <w:szCs w:val="24"/>
        </w:rPr>
        <w:t xml:space="preserve">ed, in-depth study, which shows that </w:t>
      </w:r>
      <w:r w:rsidR="00C95528">
        <w:rPr>
          <w:rFonts w:cs="Times New Roman"/>
          <w:sz w:val="24"/>
          <w:szCs w:val="24"/>
        </w:rPr>
        <w:t xml:space="preserve">no country in Europe is better than Ireland for </w:t>
      </w:r>
      <w:r w:rsidR="000741FE">
        <w:rPr>
          <w:rFonts w:cs="Times New Roman"/>
          <w:sz w:val="24"/>
          <w:szCs w:val="24"/>
        </w:rPr>
        <w:t xml:space="preserve">reading performance </w:t>
      </w:r>
      <w:r w:rsidR="00C95528">
        <w:rPr>
          <w:rFonts w:cs="Times New Roman"/>
          <w:sz w:val="24"/>
          <w:szCs w:val="24"/>
        </w:rPr>
        <w:t>at primary level.</w:t>
      </w:r>
    </w:p>
    <w:p w14:paraId="443EE1FA" w14:textId="39B894DF" w:rsidR="000F2C1E" w:rsidRPr="00EB4E79" w:rsidRDefault="00EB4E79" w:rsidP="00EB4E79">
      <w:pPr>
        <w:ind w:left="-142" w:right="-330"/>
        <w:rPr>
          <w:rFonts w:cs="Times New Roman"/>
          <w:b/>
        </w:rPr>
      </w:pPr>
      <w:r>
        <w:rPr>
          <w:rFonts w:cs="Times New Roman"/>
          <w:b/>
        </w:rPr>
        <w:t>“</w:t>
      </w:r>
      <w:r w:rsidR="000741FE">
        <w:rPr>
          <w:rFonts w:cs="Times New Roman"/>
          <w:sz w:val="24"/>
          <w:szCs w:val="24"/>
        </w:rPr>
        <w:t>I am also very encouraged by the significant improvements that have been made sinc</w:t>
      </w:r>
      <w:r w:rsidR="00DB121E">
        <w:rPr>
          <w:rFonts w:cs="Times New Roman"/>
          <w:sz w:val="24"/>
          <w:szCs w:val="24"/>
        </w:rPr>
        <w:t>e the last cycle of PIRLS</w:t>
      </w:r>
      <w:r w:rsidR="000741FE">
        <w:rPr>
          <w:rFonts w:cs="Times New Roman"/>
          <w:sz w:val="24"/>
          <w:szCs w:val="24"/>
        </w:rPr>
        <w:t xml:space="preserve"> which was in 2011.  </w:t>
      </w:r>
      <w:r w:rsidR="000741FE">
        <w:rPr>
          <w:rFonts w:eastAsia="Calibri" w:cs="Calibri"/>
          <w:sz w:val="24"/>
          <w:szCs w:val="24"/>
        </w:rPr>
        <w:t xml:space="preserve"> These </w:t>
      </w:r>
      <w:r w:rsidR="001718C3" w:rsidRPr="00422BCC">
        <w:rPr>
          <w:rFonts w:eastAsia="Calibri" w:cs="Calibri"/>
          <w:sz w:val="24"/>
          <w:szCs w:val="24"/>
        </w:rPr>
        <w:t>findings</w:t>
      </w:r>
      <w:r w:rsidR="000741FE">
        <w:rPr>
          <w:rFonts w:eastAsia="Calibri" w:cs="Calibri"/>
          <w:sz w:val="24"/>
          <w:szCs w:val="24"/>
        </w:rPr>
        <w:t xml:space="preserve"> are consistent with</w:t>
      </w:r>
      <w:r w:rsidR="001718C3" w:rsidRPr="00422BCC">
        <w:rPr>
          <w:rFonts w:eastAsia="Calibri" w:cs="Calibri"/>
          <w:sz w:val="24"/>
          <w:szCs w:val="24"/>
        </w:rPr>
        <w:t xml:space="preserve"> a number of </w:t>
      </w:r>
      <w:r w:rsidR="000741FE">
        <w:rPr>
          <w:rFonts w:eastAsia="Calibri" w:cs="Calibri"/>
          <w:sz w:val="24"/>
          <w:szCs w:val="24"/>
        </w:rPr>
        <w:t xml:space="preserve">other </w:t>
      </w:r>
      <w:r w:rsidR="001718C3" w:rsidRPr="00422BCC">
        <w:rPr>
          <w:rFonts w:eastAsia="Calibri" w:cs="Calibri"/>
          <w:sz w:val="24"/>
          <w:szCs w:val="24"/>
        </w:rPr>
        <w:t>recent</w:t>
      </w:r>
      <w:r w:rsidR="00DB121E">
        <w:rPr>
          <w:rFonts w:eastAsia="Calibri" w:cs="Calibri"/>
          <w:sz w:val="24"/>
          <w:szCs w:val="24"/>
        </w:rPr>
        <w:t xml:space="preserve">, major </w:t>
      </w:r>
      <w:r w:rsidR="001718C3" w:rsidRPr="00422BCC">
        <w:rPr>
          <w:rFonts w:eastAsia="Calibri" w:cs="Calibri"/>
          <w:sz w:val="24"/>
          <w:szCs w:val="24"/>
        </w:rPr>
        <w:t xml:space="preserve">reports including the National Assessments of English Reading and Mathematics </w:t>
      </w:r>
      <w:r w:rsidR="001718C3">
        <w:rPr>
          <w:rFonts w:eastAsia="Calibri" w:cs="Calibri"/>
          <w:sz w:val="24"/>
          <w:szCs w:val="24"/>
        </w:rPr>
        <w:t>2014 and PISA 2015.</w:t>
      </w:r>
      <w:r w:rsidR="000F2C1E">
        <w:rPr>
          <w:rFonts w:eastAsia="Calibri" w:cs="Calibri"/>
          <w:sz w:val="24"/>
          <w:szCs w:val="24"/>
        </w:rPr>
        <w:t xml:space="preserve"> </w:t>
      </w:r>
    </w:p>
    <w:p w14:paraId="3B700DE3" w14:textId="7933FCA2" w:rsidR="009F305D" w:rsidRPr="001718C3" w:rsidRDefault="00EB4E79" w:rsidP="00DB121E">
      <w:pPr>
        <w:spacing w:before="120" w:after="120" w:line="264" w:lineRule="auto"/>
        <w:rPr>
          <w:rFonts w:eastAsia="Calibri"/>
          <w:sz w:val="24"/>
          <w:szCs w:val="24"/>
        </w:rPr>
      </w:pPr>
      <w:r>
        <w:rPr>
          <w:rFonts w:eastAsia="Calibri" w:cs="Calibri"/>
          <w:sz w:val="24"/>
          <w:szCs w:val="24"/>
        </w:rPr>
        <w:t>“</w:t>
      </w:r>
      <w:r w:rsidR="000F2C1E">
        <w:rPr>
          <w:rFonts w:eastAsia="Calibri" w:cs="Calibri"/>
          <w:sz w:val="24"/>
          <w:szCs w:val="24"/>
        </w:rPr>
        <w:t xml:space="preserve">Being literate is a fundamental skill. It enables </w:t>
      </w:r>
      <w:r w:rsidR="00F32962">
        <w:rPr>
          <w:rFonts w:eastAsia="Calibri" w:cs="Calibri"/>
          <w:sz w:val="24"/>
          <w:szCs w:val="24"/>
        </w:rPr>
        <w:t xml:space="preserve">our </w:t>
      </w:r>
      <w:r w:rsidR="000F2C1E">
        <w:rPr>
          <w:rFonts w:eastAsia="Calibri" w:cs="Calibri"/>
          <w:sz w:val="24"/>
          <w:szCs w:val="24"/>
        </w:rPr>
        <w:t>young people to confidently participate in education and</w:t>
      </w:r>
      <w:r w:rsidR="00F32962">
        <w:rPr>
          <w:rFonts w:eastAsia="Calibri" w:cs="Calibri"/>
          <w:sz w:val="24"/>
          <w:szCs w:val="24"/>
        </w:rPr>
        <w:t xml:space="preserve"> fulfil their full potential in life. </w:t>
      </w:r>
      <w:r w:rsidR="000F2C1E" w:rsidRPr="009F305D">
        <w:rPr>
          <w:rFonts w:cs="Times New Roman"/>
          <w:sz w:val="24"/>
          <w:szCs w:val="24"/>
        </w:rPr>
        <w:t>The basic aim of this Government is to sustain our economic progress and use it to build a fair and compassionate society.</w:t>
      </w:r>
      <w:r w:rsidR="00F32962">
        <w:rPr>
          <w:rFonts w:cs="Times New Roman"/>
          <w:sz w:val="24"/>
          <w:szCs w:val="24"/>
        </w:rPr>
        <w:t xml:space="preserve"> Ensuring our children are highly literate ensures they are given the best start in life. </w:t>
      </w:r>
      <w:r w:rsidR="000F2C1E" w:rsidRPr="003B18C5">
        <w:rPr>
          <w:rFonts w:eastAsia="Calibri"/>
          <w:sz w:val="24"/>
          <w:szCs w:val="24"/>
        </w:rPr>
        <w:t>.</w:t>
      </w:r>
      <w:r w:rsidR="000F2C1E">
        <w:rPr>
          <w:rFonts w:eastAsia="Calibri"/>
          <w:sz w:val="24"/>
          <w:szCs w:val="24"/>
        </w:rPr>
        <w:t>”</w:t>
      </w:r>
    </w:p>
    <w:p w14:paraId="54D18B8A" w14:textId="77777777" w:rsidR="0069250A" w:rsidRPr="00E35699" w:rsidRDefault="0069250A" w:rsidP="00DB121E">
      <w:pPr>
        <w:spacing w:before="120" w:after="120" w:line="264" w:lineRule="auto"/>
        <w:rPr>
          <w:rFonts w:cs="Times New Roman"/>
          <w:sz w:val="24"/>
          <w:szCs w:val="24"/>
        </w:rPr>
      </w:pPr>
      <w:r>
        <w:rPr>
          <w:rFonts w:eastAsia="Calibri"/>
          <w:sz w:val="24"/>
          <w:szCs w:val="24"/>
        </w:rPr>
        <w:t xml:space="preserve">He commended the report’s authors and thanked all of the </w:t>
      </w:r>
      <w:r w:rsidR="005757AD">
        <w:rPr>
          <w:sz w:val="24"/>
          <w:szCs w:val="24"/>
        </w:rPr>
        <w:t>pupil</w:t>
      </w:r>
      <w:r w:rsidRPr="00B86F69">
        <w:rPr>
          <w:sz w:val="24"/>
          <w:szCs w:val="24"/>
        </w:rPr>
        <w:t>s, teachers, principals and parents who took part in the study and responded to the questionnaires</w:t>
      </w:r>
      <w:r>
        <w:rPr>
          <w:rFonts w:eastAsia="Calibri"/>
          <w:sz w:val="24"/>
          <w:szCs w:val="24"/>
        </w:rPr>
        <w:t xml:space="preserve">. </w:t>
      </w:r>
    </w:p>
    <w:p w14:paraId="05E31151" w14:textId="77777777" w:rsidR="00F43543" w:rsidRPr="00107BBB" w:rsidRDefault="005460F6" w:rsidP="003901A8">
      <w:pPr>
        <w:rPr>
          <w:rFonts w:cs="Times New Roman"/>
          <w:sz w:val="24"/>
          <w:szCs w:val="24"/>
        </w:rPr>
      </w:pPr>
      <w:r>
        <w:rPr>
          <w:rFonts w:cs="Times New Roman"/>
          <w:b/>
          <w:sz w:val="24"/>
          <w:szCs w:val="24"/>
        </w:rPr>
        <w:t>Eemer Eivers</w:t>
      </w:r>
      <w:r w:rsidR="00904012" w:rsidRPr="00107BBB">
        <w:rPr>
          <w:rFonts w:cs="Times New Roman"/>
          <w:b/>
          <w:sz w:val="24"/>
          <w:szCs w:val="24"/>
        </w:rPr>
        <w:t>, one of the report’s authors, said that</w:t>
      </w:r>
      <w:r w:rsidR="00904012" w:rsidRPr="00107BBB">
        <w:rPr>
          <w:rFonts w:cs="Times New Roman"/>
          <w:sz w:val="24"/>
          <w:szCs w:val="24"/>
        </w:rPr>
        <w:t xml:space="preserve"> “</w:t>
      </w:r>
      <w:r w:rsidR="00F43543">
        <w:rPr>
          <w:rFonts w:cs="Times New Roman"/>
          <w:sz w:val="24"/>
          <w:szCs w:val="24"/>
        </w:rPr>
        <w:t xml:space="preserve">The results of </w:t>
      </w:r>
      <w:r w:rsidR="004E47C0">
        <w:rPr>
          <w:rFonts w:cs="Times New Roman"/>
          <w:sz w:val="24"/>
          <w:szCs w:val="24"/>
        </w:rPr>
        <w:t xml:space="preserve">the online reading assessment – </w:t>
      </w:r>
      <w:r w:rsidR="00F43543">
        <w:rPr>
          <w:rFonts w:cs="Times New Roman"/>
          <w:sz w:val="24"/>
          <w:szCs w:val="24"/>
        </w:rPr>
        <w:t xml:space="preserve">ePIRLS </w:t>
      </w:r>
      <w:r w:rsidR="004E47C0">
        <w:rPr>
          <w:rFonts w:cs="Times New Roman"/>
          <w:sz w:val="24"/>
          <w:szCs w:val="24"/>
        </w:rPr>
        <w:t xml:space="preserve">– </w:t>
      </w:r>
      <w:r w:rsidR="00F43543">
        <w:rPr>
          <w:rFonts w:cs="Times New Roman"/>
          <w:sz w:val="24"/>
          <w:szCs w:val="24"/>
        </w:rPr>
        <w:t>are particularly interesting. This is the first assess</w:t>
      </w:r>
      <w:r w:rsidR="006A44D5">
        <w:rPr>
          <w:rFonts w:cs="Times New Roman"/>
          <w:sz w:val="24"/>
          <w:szCs w:val="24"/>
        </w:rPr>
        <w:t xml:space="preserve">ment of its kind at primary level and it is encouraging to see that most Irish pupils had little or no difficulty navigating through the complex online scenarios they encountered. Equally, they seem able </w:t>
      </w:r>
      <w:r w:rsidR="006947C8">
        <w:rPr>
          <w:rFonts w:cs="Times New Roman"/>
          <w:sz w:val="24"/>
          <w:szCs w:val="24"/>
        </w:rPr>
        <w:t xml:space="preserve">to </w:t>
      </w:r>
      <w:r w:rsidR="006A44D5">
        <w:rPr>
          <w:rFonts w:cs="Times New Roman"/>
          <w:sz w:val="24"/>
          <w:szCs w:val="24"/>
        </w:rPr>
        <w:t xml:space="preserve">evaluate information in a digital environment – for example, identifying the more reliable sources of information and integrating information from multiple web pages.” </w:t>
      </w:r>
    </w:p>
    <w:p w14:paraId="731BFE47" w14:textId="77777777" w:rsidR="00904012" w:rsidRDefault="005460F6" w:rsidP="003901A8">
      <w:pPr>
        <w:rPr>
          <w:rFonts w:cs="Times New Roman"/>
          <w:sz w:val="24"/>
          <w:szCs w:val="24"/>
        </w:rPr>
      </w:pPr>
      <w:r>
        <w:rPr>
          <w:rFonts w:cs="Times New Roman"/>
          <w:b/>
          <w:sz w:val="24"/>
          <w:szCs w:val="24"/>
        </w:rPr>
        <w:t>Lorraine Gilleece</w:t>
      </w:r>
      <w:r w:rsidR="00904012" w:rsidRPr="00107BBB">
        <w:rPr>
          <w:rFonts w:cs="Times New Roman"/>
          <w:b/>
          <w:sz w:val="24"/>
          <w:szCs w:val="24"/>
        </w:rPr>
        <w:t>, another of the authors, noted that</w:t>
      </w:r>
      <w:r w:rsidR="00904012" w:rsidRPr="00107BBB">
        <w:rPr>
          <w:rFonts w:cs="Times New Roman"/>
          <w:sz w:val="24"/>
          <w:szCs w:val="24"/>
        </w:rPr>
        <w:t xml:space="preserve"> </w:t>
      </w:r>
      <w:r w:rsidR="003F3A82" w:rsidRPr="00107BBB">
        <w:rPr>
          <w:rFonts w:cs="Times New Roman"/>
          <w:sz w:val="24"/>
          <w:szCs w:val="24"/>
        </w:rPr>
        <w:t>“</w:t>
      </w:r>
      <w:r w:rsidR="009D3421">
        <w:rPr>
          <w:rFonts w:cs="Times New Roman"/>
          <w:sz w:val="24"/>
          <w:szCs w:val="24"/>
        </w:rPr>
        <w:t xml:space="preserve">A positive feature of the results is that the improvement in performance since 2011 is very balanced.  We see improvements on all aspects of reading and types of texts, and both boys and girls have improved.  Also, in Ireland boys have slightly narrowed the gender gap on what we call </w:t>
      </w:r>
      <w:r w:rsidR="009D3421" w:rsidRPr="006A44D5">
        <w:rPr>
          <w:rFonts w:cs="Times New Roman"/>
          <w:i/>
          <w:sz w:val="24"/>
          <w:szCs w:val="24"/>
        </w:rPr>
        <w:t>Literary style</w:t>
      </w:r>
      <w:r w:rsidR="009D3421">
        <w:rPr>
          <w:rFonts w:cs="Times New Roman"/>
          <w:sz w:val="24"/>
          <w:szCs w:val="24"/>
        </w:rPr>
        <w:t xml:space="preserve"> texts. Perhaps contrary to popular perception, boys here are well able to engage with and to enjoy literary texts.”</w:t>
      </w:r>
    </w:p>
    <w:p w14:paraId="3AF3D775" w14:textId="77777777" w:rsidR="000658E0" w:rsidRDefault="000658E0" w:rsidP="007033D6">
      <w:pPr>
        <w:spacing w:before="120" w:after="120" w:line="240" w:lineRule="auto"/>
        <w:rPr>
          <w:rFonts w:cs="Times New Roman"/>
          <w:sz w:val="24"/>
          <w:szCs w:val="24"/>
        </w:rPr>
      </w:pPr>
    </w:p>
    <w:p w14:paraId="036D2286" w14:textId="685D2E48" w:rsidR="006B2060" w:rsidRDefault="007033D6" w:rsidP="007033D6">
      <w:pPr>
        <w:spacing w:before="120" w:after="120" w:line="240" w:lineRule="auto"/>
        <w:rPr>
          <w:rFonts w:cs="Times New Roman"/>
          <w:b/>
          <w:sz w:val="24"/>
          <w:szCs w:val="24"/>
          <w:u w:val="single"/>
        </w:rPr>
      </w:pPr>
      <w:r>
        <w:rPr>
          <w:rFonts w:cs="Times New Roman"/>
          <w:b/>
          <w:sz w:val="24"/>
          <w:szCs w:val="24"/>
          <w:u w:val="single"/>
        </w:rPr>
        <w:t>Note to Editors</w:t>
      </w:r>
    </w:p>
    <w:p w14:paraId="59C57724" w14:textId="42C583BA" w:rsidR="007033D6" w:rsidRDefault="007033D6" w:rsidP="007033D6">
      <w:pPr>
        <w:ind w:left="-142" w:right="-330"/>
        <w:rPr>
          <w:rFonts w:cs="Times New Roman"/>
          <w:b/>
        </w:rPr>
      </w:pPr>
      <w:r>
        <w:rPr>
          <w:rFonts w:cs="Times New Roman"/>
          <w:sz w:val="24"/>
          <w:szCs w:val="24"/>
        </w:rPr>
        <w:t>Among all countries included in the study,</w:t>
      </w:r>
      <w:r w:rsidR="00C95528">
        <w:rPr>
          <w:rFonts w:cs="Times New Roman"/>
          <w:sz w:val="24"/>
          <w:szCs w:val="24"/>
        </w:rPr>
        <w:t xml:space="preserve"> only two </w:t>
      </w:r>
      <w:r w:rsidR="00DB121E">
        <w:rPr>
          <w:rFonts w:cs="Times New Roman"/>
          <w:sz w:val="24"/>
          <w:szCs w:val="24"/>
        </w:rPr>
        <w:t xml:space="preserve">out of fifty </w:t>
      </w:r>
      <w:r w:rsidR="00C95528">
        <w:rPr>
          <w:rFonts w:cs="Times New Roman"/>
          <w:sz w:val="24"/>
          <w:szCs w:val="24"/>
        </w:rPr>
        <w:t>significantly outperformed Ireland</w:t>
      </w:r>
      <w:r>
        <w:rPr>
          <w:rFonts w:cs="Times New Roman"/>
          <w:sz w:val="24"/>
          <w:szCs w:val="24"/>
        </w:rPr>
        <w:t xml:space="preserve"> </w:t>
      </w:r>
      <w:r w:rsidR="00C95528">
        <w:rPr>
          <w:rFonts w:cs="Times New Roman"/>
          <w:sz w:val="24"/>
          <w:szCs w:val="24"/>
        </w:rPr>
        <w:t>i</w:t>
      </w:r>
      <w:r w:rsidRPr="004853A1">
        <w:rPr>
          <w:rFonts w:cs="Times New Roman"/>
          <w:sz w:val="24"/>
          <w:szCs w:val="24"/>
        </w:rPr>
        <w:t xml:space="preserve">n </w:t>
      </w:r>
      <w:r>
        <w:rPr>
          <w:rFonts w:cs="Times New Roman"/>
          <w:sz w:val="24"/>
          <w:szCs w:val="24"/>
        </w:rPr>
        <w:t xml:space="preserve">reading in the paper based assessment, compared to </w:t>
      </w:r>
      <w:r w:rsidR="00DB121E">
        <w:rPr>
          <w:rFonts w:cs="Times New Roman"/>
          <w:sz w:val="24"/>
          <w:szCs w:val="24"/>
        </w:rPr>
        <w:t xml:space="preserve">five </w:t>
      </w:r>
      <w:r w:rsidRPr="009F305D">
        <w:rPr>
          <w:rFonts w:cs="Times New Roman"/>
          <w:sz w:val="24"/>
          <w:szCs w:val="24"/>
        </w:rPr>
        <w:t>out of 45 countries</w:t>
      </w:r>
      <w:r>
        <w:rPr>
          <w:rFonts w:cs="Times New Roman"/>
          <w:sz w:val="24"/>
          <w:szCs w:val="24"/>
        </w:rPr>
        <w:t xml:space="preserve"> in PIRLS 2011. Only pupils in the Russian Federation and Singapore statistically significantly outperformed Irish pupils</w:t>
      </w:r>
      <w:r w:rsidR="00DB121E">
        <w:rPr>
          <w:rFonts w:cs="Times New Roman"/>
          <w:sz w:val="24"/>
          <w:szCs w:val="24"/>
        </w:rPr>
        <w:t xml:space="preserve"> in 2016</w:t>
      </w:r>
      <w:r>
        <w:rPr>
          <w:rFonts w:cs="Times New Roman"/>
          <w:sz w:val="24"/>
          <w:szCs w:val="24"/>
        </w:rPr>
        <w:t>.  On ePIRLS, the online component, only Singapore obtained a significantly higher mean score than Ireland’s mean of 567</w:t>
      </w:r>
      <w:r w:rsidR="00DB121E">
        <w:rPr>
          <w:rFonts w:cs="Times New Roman"/>
          <w:sz w:val="24"/>
          <w:szCs w:val="24"/>
        </w:rPr>
        <w:t xml:space="preserve"> in 2016</w:t>
      </w:r>
      <w:r>
        <w:rPr>
          <w:rFonts w:cs="Times New Roman"/>
          <w:sz w:val="24"/>
          <w:szCs w:val="24"/>
        </w:rPr>
        <w:t xml:space="preserve">.  </w:t>
      </w:r>
    </w:p>
    <w:p w14:paraId="18AE0E09" w14:textId="77777777" w:rsidR="007033D6" w:rsidRPr="007033D6" w:rsidRDefault="007033D6" w:rsidP="007033D6">
      <w:pPr>
        <w:spacing w:before="120" w:after="120" w:line="240" w:lineRule="auto"/>
        <w:rPr>
          <w:rFonts w:cs="Times New Roman"/>
          <w:sz w:val="24"/>
          <w:szCs w:val="24"/>
        </w:rPr>
      </w:pPr>
    </w:p>
    <w:p w14:paraId="0CD227C7" w14:textId="77777777" w:rsidR="000D3746" w:rsidRPr="00107BBB" w:rsidRDefault="000D3746" w:rsidP="007033D6">
      <w:pPr>
        <w:spacing w:after="0"/>
        <w:rPr>
          <w:rFonts w:cs="Times New Roman"/>
          <w:b/>
          <w:sz w:val="24"/>
          <w:szCs w:val="24"/>
        </w:rPr>
      </w:pPr>
      <w:r w:rsidRPr="00107BBB">
        <w:rPr>
          <w:rFonts w:cs="Times New Roman"/>
          <w:b/>
          <w:sz w:val="24"/>
          <w:szCs w:val="24"/>
        </w:rPr>
        <w:t xml:space="preserve">A note on </w:t>
      </w:r>
      <w:r w:rsidR="009601D9">
        <w:rPr>
          <w:rFonts w:cs="Times New Roman"/>
          <w:b/>
          <w:sz w:val="24"/>
          <w:szCs w:val="24"/>
        </w:rPr>
        <w:t>mean scores and scales</w:t>
      </w:r>
      <w:r w:rsidRPr="00107BBB">
        <w:rPr>
          <w:rFonts w:cs="Times New Roman"/>
          <w:b/>
          <w:sz w:val="24"/>
          <w:szCs w:val="24"/>
        </w:rPr>
        <w:t xml:space="preserve"> ‎</w:t>
      </w:r>
    </w:p>
    <w:p w14:paraId="754CC080" w14:textId="19E2D5D0" w:rsidR="000D3746" w:rsidRDefault="000D3746" w:rsidP="000D3746">
      <w:pPr>
        <w:pStyle w:val="maintext"/>
        <w:overflowPunct/>
        <w:autoSpaceDE/>
        <w:autoSpaceDN/>
        <w:adjustRightInd/>
        <w:spacing w:before="0"/>
        <w:ind w:left="0" w:firstLine="0"/>
        <w:textAlignment w:val="auto"/>
        <w:rPr>
          <w:rFonts w:asciiTheme="minorHAnsi" w:hAnsiTheme="minorHAnsi"/>
        </w:rPr>
      </w:pPr>
      <w:r w:rsidRPr="00107BBB">
        <w:rPr>
          <w:rFonts w:asciiTheme="minorHAnsi" w:hAnsiTheme="minorHAnsi"/>
        </w:rPr>
        <w:t xml:space="preserve">All </w:t>
      </w:r>
      <w:r w:rsidR="005757AD">
        <w:rPr>
          <w:rFonts w:asciiTheme="minorHAnsi" w:hAnsiTheme="minorHAnsi"/>
        </w:rPr>
        <w:t>PIRLS</w:t>
      </w:r>
      <w:r w:rsidRPr="00107BBB">
        <w:rPr>
          <w:rFonts w:asciiTheme="minorHAnsi" w:hAnsiTheme="minorHAnsi"/>
        </w:rPr>
        <w:t xml:space="preserve"> scores are reported on a scale which is set to a ‘centrepoint’ of 500</w:t>
      </w:r>
      <w:r w:rsidR="009D3421" w:rsidRPr="009D3421">
        <w:rPr>
          <w:rFonts w:asciiTheme="minorHAnsi" w:hAnsiTheme="minorHAnsi"/>
        </w:rPr>
        <w:t xml:space="preserve"> </w:t>
      </w:r>
      <w:r w:rsidR="009D3421" w:rsidRPr="00107BBB">
        <w:rPr>
          <w:rFonts w:asciiTheme="minorHAnsi" w:hAnsiTheme="minorHAnsi"/>
        </w:rPr>
        <w:t xml:space="preserve">set during the first </w:t>
      </w:r>
      <w:r w:rsidR="009D3421">
        <w:rPr>
          <w:rFonts w:asciiTheme="minorHAnsi" w:hAnsiTheme="minorHAnsi"/>
        </w:rPr>
        <w:t>PIRLS</w:t>
      </w:r>
      <w:r w:rsidR="009D3421" w:rsidRPr="00107BBB">
        <w:rPr>
          <w:rFonts w:asciiTheme="minorHAnsi" w:hAnsiTheme="minorHAnsi"/>
        </w:rPr>
        <w:t xml:space="preserve"> assessment in </w:t>
      </w:r>
      <w:r w:rsidR="009D3421">
        <w:rPr>
          <w:rFonts w:asciiTheme="minorHAnsi" w:hAnsiTheme="minorHAnsi"/>
        </w:rPr>
        <w:t>2001</w:t>
      </w:r>
      <w:r w:rsidRPr="00107BBB">
        <w:rPr>
          <w:rFonts w:asciiTheme="minorHAnsi" w:hAnsiTheme="minorHAnsi"/>
        </w:rPr>
        <w:t xml:space="preserve">.  </w:t>
      </w:r>
      <w:r w:rsidRPr="00107BBB">
        <w:rPr>
          <w:rFonts w:asciiTheme="minorHAnsi" w:hAnsiTheme="minorHAnsi"/>
          <w:b/>
        </w:rPr>
        <w:t xml:space="preserve">This is </w:t>
      </w:r>
      <w:r w:rsidRPr="00107BBB">
        <w:rPr>
          <w:rFonts w:asciiTheme="minorHAnsi" w:hAnsiTheme="minorHAnsi"/>
          <w:b/>
          <w:u w:val="single"/>
        </w:rPr>
        <w:t>not</w:t>
      </w:r>
      <w:r w:rsidRPr="00107BBB">
        <w:rPr>
          <w:rFonts w:asciiTheme="minorHAnsi" w:hAnsiTheme="minorHAnsi"/>
          <w:b/>
        </w:rPr>
        <w:t xml:space="preserve"> </w:t>
      </w:r>
      <w:r w:rsidR="00396931">
        <w:rPr>
          <w:rFonts w:asciiTheme="minorHAnsi" w:hAnsiTheme="minorHAnsi"/>
          <w:b/>
        </w:rPr>
        <w:t>the</w:t>
      </w:r>
      <w:r w:rsidRPr="00107BBB">
        <w:rPr>
          <w:rFonts w:asciiTheme="minorHAnsi" w:hAnsiTheme="minorHAnsi"/>
          <w:b/>
        </w:rPr>
        <w:t xml:space="preserve"> international average for </w:t>
      </w:r>
      <w:r w:rsidR="005757AD">
        <w:rPr>
          <w:rFonts w:asciiTheme="minorHAnsi" w:hAnsiTheme="minorHAnsi"/>
          <w:b/>
        </w:rPr>
        <w:t>PIRLS</w:t>
      </w:r>
      <w:r w:rsidR="004F577E" w:rsidRPr="00107BBB">
        <w:rPr>
          <w:rFonts w:asciiTheme="minorHAnsi" w:hAnsiTheme="minorHAnsi"/>
          <w:b/>
        </w:rPr>
        <w:t xml:space="preserve"> </w:t>
      </w:r>
      <w:r w:rsidR="005757AD">
        <w:rPr>
          <w:rFonts w:asciiTheme="minorHAnsi" w:hAnsiTheme="minorHAnsi"/>
          <w:b/>
        </w:rPr>
        <w:t>2016</w:t>
      </w:r>
      <w:r w:rsidR="009D3421">
        <w:rPr>
          <w:rFonts w:asciiTheme="minorHAnsi" w:hAnsiTheme="minorHAnsi"/>
        </w:rPr>
        <w:t xml:space="preserve">. </w:t>
      </w:r>
      <w:r w:rsidRPr="00107BBB">
        <w:rPr>
          <w:rFonts w:asciiTheme="minorHAnsi" w:hAnsiTheme="minorHAnsi"/>
        </w:rPr>
        <w:t xml:space="preserve">It is a constant reference point against which countries can monitor changes in their performance </w:t>
      </w:r>
      <w:r w:rsidRPr="00107BBB">
        <w:rPr>
          <w:rFonts w:asciiTheme="minorHAnsi" w:hAnsiTheme="minorHAnsi"/>
        </w:rPr>
        <w:lastRenderedPageBreak/>
        <w:t>over time.</w:t>
      </w:r>
      <w:r w:rsidR="005460F6">
        <w:rPr>
          <w:rFonts w:asciiTheme="minorHAnsi" w:hAnsiTheme="minorHAnsi"/>
        </w:rPr>
        <w:t xml:space="preserve">  Thus, we can directly compare Ireland’s score of 567 in 2016 with our score of 552 in PIRLS 2011, and say that Ire</w:t>
      </w:r>
      <w:r w:rsidR="00E20B8E">
        <w:rPr>
          <w:rFonts w:asciiTheme="minorHAnsi" w:hAnsiTheme="minorHAnsi"/>
        </w:rPr>
        <w:t>land has improved by 15 points</w:t>
      </w:r>
      <w:r w:rsidR="009601D9">
        <w:rPr>
          <w:rFonts w:asciiTheme="minorHAnsi" w:hAnsiTheme="minorHAnsi"/>
        </w:rPr>
        <w:t xml:space="preserve">.  </w:t>
      </w:r>
    </w:p>
    <w:p w14:paraId="3F4AA597" w14:textId="77777777" w:rsidR="000F2C1E" w:rsidRPr="00107BBB" w:rsidRDefault="000F2C1E" w:rsidP="000D3746">
      <w:pPr>
        <w:pStyle w:val="maintext"/>
        <w:overflowPunct/>
        <w:autoSpaceDE/>
        <w:autoSpaceDN/>
        <w:adjustRightInd/>
        <w:spacing w:before="0"/>
        <w:ind w:left="0" w:firstLine="0"/>
        <w:textAlignment w:val="auto"/>
        <w:rPr>
          <w:rFonts w:asciiTheme="minorHAnsi" w:hAnsiTheme="minorHAnsi"/>
        </w:rPr>
      </w:pPr>
    </w:p>
    <w:p w14:paraId="2DBF6208" w14:textId="77777777" w:rsidR="00ED636C" w:rsidRPr="00107BBB" w:rsidRDefault="003D227D" w:rsidP="007033D6">
      <w:pPr>
        <w:spacing w:before="120" w:after="0"/>
        <w:rPr>
          <w:rFonts w:cs="Times New Roman"/>
          <w:b/>
          <w:sz w:val="24"/>
          <w:szCs w:val="24"/>
        </w:rPr>
      </w:pPr>
      <w:r w:rsidRPr="00107BBB">
        <w:rPr>
          <w:rFonts w:cs="Times New Roman"/>
          <w:b/>
          <w:sz w:val="24"/>
          <w:szCs w:val="24"/>
        </w:rPr>
        <w:t xml:space="preserve">About </w:t>
      </w:r>
      <w:r w:rsidR="005757AD">
        <w:rPr>
          <w:rFonts w:cs="Times New Roman"/>
          <w:b/>
          <w:sz w:val="24"/>
          <w:szCs w:val="24"/>
        </w:rPr>
        <w:t>PIRLS</w:t>
      </w:r>
      <w:r w:rsidRPr="00107BBB">
        <w:rPr>
          <w:rFonts w:cs="Times New Roman"/>
          <w:b/>
          <w:sz w:val="24"/>
          <w:szCs w:val="24"/>
        </w:rPr>
        <w:t xml:space="preserve"> </w:t>
      </w:r>
      <w:r w:rsidR="005757AD">
        <w:rPr>
          <w:rFonts w:cs="Times New Roman"/>
          <w:b/>
          <w:sz w:val="24"/>
          <w:szCs w:val="24"/>
        </w:rPr>
        <w:t>2016</w:t>
      </w:r>
    </w:p>
    <w:p w14:paraId="22208E05" w14:textId="77777777" w:rsidR="003D227D" w:rsidRPr="00E20B8E" w:rsidRDefault="005757AD" w:rsidP="000D3746">
      <w:pPr>
        <w:pStyle w:val="first"/>
        <w:spacing w:before="0"/>
        <w:rPr>
          <w:rFonts w:asciiTheme="minorHAnsi" w:hAnsiTheme="minorHAnsi"/>
          <w:szCs w:val="24"/>
        </w:rPr>
      </w:pPr>
      <w:r>
        <w:rPr>
          <w:rFonts w:asciiTheme="minorHAnsi" w:hAnsiTheme="minorHAnsi"/>
          <w:szCs w:val="24"/>
        </w:rPr>
        <w:t>PIRLS</w:t>
      </w:r>
      <w:r w:rsidR="003D227D" w:rsidRPr="00107BBB">
        <w:rPr>
          <w:rFonts w:asciiTheme="minorHAnsi" w:hAnsiTheme="minorHAnsi"/>
          <w:szCs w:val="24"/>
        </w:rPr>
        <w:t xml:space="preserve"> is organised by the International Association for the Evaluation of Educational Achievement (IEA), a non-profit organisation based in The Hague, Netherlands.  At an international level, the study is managed by the </w:t>
      </w:r>
      <w:r>
        <w:rPr>
          <w:rFonts w:asciiTheme="minorHAnsi" w:hAnsiTheme="minorHAnsi"/>
          <w:szCs w:val="24"/>
        </w:rPr>
        <w:t>PIRLS</w:t>
      </w:r>
      <w:r w:rsidR="003D227D" w:rsidRPr="00107BBB">
        <w:rPr>
          <w:rFonts w:asciiTheme="minorHAnsi" w:hAnsiTheme="minorHAnsi"/>
          <w:szCs w:val="24"/>
        </w:rPr>
        <w:t xml:space="preserve"> &amp; PIRLS International Study Centre in </w:t>
      </w:r>
      <w:r w:rsidR="003D227D" w:rsidRPr="00E20B8E">
        <w:rPr>
          <w:rFonts w:asciiTheme="minorHAnsi" w:hAnsiTheme="minorHAnsi"/>
          <w:szCs w:val="24"/>
        </w:rPr>
        <w:t xml:space="preserve">Boston College, USA.  In Ireland, the Educational Research Centre (ERC) </w:t>
      </w:r>
      <w:r w:rsidR="009601D9">
        <w:rPr>
          <w:rFonts w:asciiTheme="minorHAnsi" w:hAnsiTheme="minorHAnsi"/>
          <w:szCs w:val="24"/>
        </w:rPr>
        <w:t>manages PIRLS</w:t>
      </w:r>
      <w:r w:rsidR="003D227D" w:rsidRPr="00E20B8E">
        <w:rPr>
          <w:rFonts w:asciiTheme="minorHAnsi" w:hAnsiTheme="minorHAnsi"/>
          <w:szCs w:val="24"/>
        </w:rPr>
        <w:t xml:space="preserve"> on behalf of the Department of Education and Skills (DES)</w:t>
      </w:r>
      <w:r w:rsidR="009601D9">
        <w:rPr>
          <w:rFonts w:asciiTheme="minorHAnsi" w:hAnsiTheme="minorHAnsi"/>
          <w:szCs w:val="24"/>
        </w:rPr>
        <w:t>, and provides the national report on PIRLS 2016</w:t>
      </w:r>
      <w:r w:rsidR="003D227D" w:rsidRPr="00E20B8E">
        <w:rPr>
          <w:rFonts w:asciiTheme="minorHAnsi" w:hAnsiTheme="minorHAnsi"/>
          <w:szCs w:val="24"/>
        </w:rPr>
        <w:t>.</w:t>
      </w:r>
    </w:p>
    <w:p w14:paraId="55F529BC" w14:textId="77777777" w:rsidR="003D227D" w:rsidRPr="00E20B8E" w:rsidRDefault="00E20B8E" w:rsidP="00047A21">
      <w:pPr>
        <w:pStyle w:val="maintext"/>
        <w:ind w:left="0" w:firstLine="0"/>
        <w:rPr>
          <w:rFonts w:asciiTheme="minorHAnsi" w:hAnsiTheme="minorHAnsi"/>
        </w:rPr>
      </w:pPr>
      <w:r w:rsidRPr="00E20B8E">
        <w:rPr>
          <w:rFonts w:asciiTheme="minorHAnsi" w:hAnsiTheme="minorHAnsi"/>
        </w:rPr>
        <w:t xml:space="preserve">As well as reading achievement, </w:t>
      </w:r>
      <w:r w:rsidR="005757AD" w:rsidRPr="00E20B8E">
        <w:rPr>
          <w:rFonts w:asciiTheme="minorHAnsi" w:hAnsiTheme="minorHAnsi"/>
        </w:rPr>
        <w:t>PIRLS</w:t>
      </w:r>
      <w:r w:rsidR="003D227D" w:rsidRPr="00E20B8E">
        <w:rPr>
          <w:rFonts w:asciiTheme="minorHAnsi" w:hAnsiTheme="minorHAnsi"/>
        </w:rPr>
        <w:t xml:space="preserve"> provides detailed comparisons </w:t>
      </w:r>
      <w:r w:rsidRPr="00E20B8E">
        <w:rPr>
          <w:rFonts w:asciiTheme="minorHAnsi" w:hAnsiTheme="minorHAnsi"/>
        </w:rPr>
        <w:t xml:space="preserve">of home activities, teaching practices and characteristics </w:t>
      </w:r>
      <w:r w:rsidR="003D227D" w:rsidRPr="00E20B8E">
        <w:rPr>
          <w:rFonts w:asciiTheme="minorHAnsi" w:hAnsiTheme="minorHAnsi"/>
        </w:rPr>
        <w:t xml:space="preserve">of education systems in the various participating countries.  The study operates on a </w:t>
      </w:r>
      <w:r w:rsidRPr="00E20B8E">
        <w:rPr>
          <w:rFonts w:asciiTheme="minorHAnsi" w:hAnsiTheme="minorHAnsi"/>
        </w:rPr>
        <w:t>five</w:t>
      </w:r>
      <w:r w:rsidR="003D227D" w:rsidRPr="00E20B8E">
        <w:rPr>
          <w:rFonts w:asciiTheme="minorHAnsi" w:hAnsiTheme="minorHAnsi"/>
        </w:rPr>
        <w:t xml:space="preserve">-year cycle, with the first administration taking place in </w:t>
      </w:r>
      <w:r w:rsidR="00CC3A9C" w:rsidRPr="00E20B8E">
        <w:rPr>
          <w:rFonts w:asciiTheme="minorHAnsi" w:hAnsiTheme="minorHAnsi"/>
        </w:rPr>
        <w:t>2001</w:t>
      </w:r>
      <w:r w:rsidR="003D227D" w:rsidRPr="00E20B8E">
        <w:rPr>
          <w:rFonts w:asciiTheme="minorHAnsi" w:hAnsiTheme="minorHAnsi"/>
        </w:rPr>
        <w:t xml:space="preserve">.  Ireland has taken part in </w:t>
      </w:r>
      <w:r w:rsidR="005757AD" w:rsidRPr="00E20B8E">
        <w:rPr>
          <w:rFonts w:asciiTheme="minorHAnsi" w:hAnsiTheme="minorHAnsi"/>
        </w:rPr>
        <w:t>PIRLS</w:t>
      </w:r>
      <w:r w:rsidR="003D227D" w:rsidRPr="00E20B8E">
        <w:rPr>
          <w:rFonts w:asciiTheme="minorHAnsi" w:hAnsiTheme="minorHAnsi"/>
        </w:rPr>
        <w:t xml:space="preserve"> </w:t>
      </w:r>
      <w:r w:rsidR="00CC3A9C" w:rsidRPr="00E20B8E">
        <w:rPr>
          <w:rFonts w:asciiTheme="minorHAnsi" w:hAnsiTheme="minorHAnsi"/>
        </w:rPr>
        <w:t>once</w:t>
      </w:r>
      <w:r w:rsidR="00D7156C" w:rsidRPr="00E20B8E">
        <w:rPr>
          <w:rFonts w:asciiTheme="minorHAnsi" w:hAnsiTheme="minorHAnsi"/>
        </w:rPr>
        <w:t xml:space="preserve"> </w:t>
      </w:r>
      <w:r w:rsidR="003D227D" w:rsidRPr="00E20B8E">
        <w:rPr>
          <w:rFonts w:asciiTheme="minorHAnsi" w:hAnsiTheme="minorHAnsi"/>
        </w:rPr>
        <w:t>previously</w:t>
      </w:r>
      <w:r w:rsidR="00D7156C" w:rsidRPr="00E20B8E">
        <w:rPr>
          <w:rFonts w:asciiTheme="minorHAnsi" w:hAnsiTheme="minorHAnsi"/>
        </w:rPr>
        <w:t>, in 2011</w:t>
      </w:r>
      <w:r w:rsidR="003D227D" w:rsidRPr="00E20B8E">
        <w:rPr>
          <w:rFonts w:asciiTheme="minorHAnsi" w:hAnsiTheme="minorHAnsi"/>
        </w:rPr>
        <w:t>.</w:t>
      </w:r>
    </w:p>
    <w:p w14:paraId="394EFBEC" w14:textId="77777777" w:rsidR="003D227D" w:rsidRPr="00E20B8E" w:rsidRDefault="003D227D" w:rsidP="000D3746">
      <w:pPr>
        <w:pStyle w:val="maintext"/>
        <w:overflowPunct/>
        <w:autoSpaceDE/>
        <w:autoSpaceDN/>
        <w:adjustRightInd/>
        <w:spacing w:before="0"/>
        <w:ind w:left="0" w:firstLine="0"/>
        <w:textAlignment w:val="auto"/>
        <w:rPr>
          <w:rFonts w:asciiTheme="minorHAnsi" w:hAnsiTheme="minorHAnsi"/>
        </w:rPr>
      </w:pPr>
      <w:r w:rsidRPr="00E20B8E">
        <w:rPr>
          <w:rFonts w:asciiTheme="minorHAnsi" w:hAnsiTheme="minorHAnsi"/>
        </w:rPr>
        <w:t>Altogether, 5</w:t>
      </w:r>
      <w:r w:rsidR="00CC3A9C" w:rsidRPr="00E20B8E">
        <w:rPr>
          <w:rFonts w:asciiTheme="minorHAnsi" w:hAnsiTheme="minorHAnsi"/>
        </w:rPr>
        <w:t>0</w:t>
      </w:r>
      <w:r w:rsidRPr="00E20B8E">
        <w:rPr>
          <w:rFonts w:asciiTheme="minorHAnsi" w:hAnsiTheme="minorHAnsi"/>
        </w:rPr>
        <w:t xml:space="preserve"> countries participated in </w:t>
      </w:r>
      <w:r w:rsidR="005757AD" w:rsidRPr="00E20B8E">
        <w:rPr>
          <w:rFonts w:asciiTheme="minorHAnsi" w:hAnsiTheme="minorHAnsi"/>
        </w:rPr>
        <w:t>PIRLS</w:t>
      </w:r>
      <w:r w:rsidR="00CC3A9C" w:rsidRPr="00E20B8E">
        <w:rPr>
          <w:rFonts w:asciiTheme="minorHAnsi" w:hAnsiTheme="minorHAnsi"/>
        </w:rPr>
        <w:t>, while 14 took part in ePIRLS</w:t>
      </w:r>
      <w:r w:rsidRPr="00E20B8E">
        <w:rPr>
          <w:rFonts w:asciiTheme="minorHAnsi" w:hAnsiTheme="minorHAnsi"/>
        </w:rPr>
        <w:t xml:space="preserve">.  </w:t>
      </w:r>
      <w:r w:rsidR="009601D9">
        <w:rPr>
          <w:rFonts w:asciiTheme="minorHAnsi" w:hAnsiTheme="minorHAnsi"/>
        </w:rPr>
        <w:t>Approximately</w:t>
      </w:r>
      <w:r w:rsidRPr="00E20B8E">
        <w:rPr>
          <w:rFonts w:asciiTheme="minorHAnsi" w:hAnsiTheme="minorHAnsi"/>
        </w:rPr>
        <w:t xml:space="preserve"> </w:t>
      </w:r>
      <w:r w:rsidR="00E20B8E" w:rsidRPr="00E20B8E">
        <w:rPr>
          <w:rFonts w:asciiTheme="minorHAnsi" w:hAnsiTheme="minorHAnsi"/>
        </w:rPr>
        <w:t>340</w:t>
      </w:r>
      <w:r w:rsidRPr="00E20B8E">
        <w:rPr>
          <w:rFonts w:asciiTheme="minorHAnsi" w:hAnsiTheme="minorHAnsi"/>
        </w:rPr>
        <w:t xml:space="preserve">,000 </w:t>
      </w:r>
      <w:r w:rsidR="005757AD" w:rsidRPr="00E20B8E">
        <w:rPr>
          <w:rFonts w:asciiTheme="minorHAnsi" w:hAnsiTheme="minorHAnsi"/>
        </w:rPr>
        <w:t>pupil</w:t>
      </w:r>
      <w:r w:rsidRPr="00E20B8E">
        <w:rPr>
          <w:rFonts w:asciiTheme="minorHAnsi" w:hAnsiTheme="minorHAnsi"/>
        </w:rPr>
        <w:t xml:space="preserve">s in </w:t>
      </w:r>
      <w:r w:rsidR="00E20B8E" w:rsidRPr="00E20B8E">
        <w:rPr>
          <w:rFonts w:asciiTheme="minorHAnsi" w:hAnsiTheme="minorHAnsi"/>
        </w:rPr>
        <w:t xml:space="preserve">50 </w:t>
      </w:r>
      <w:r w:rsidRPr="00E20B8E">
        <w:rPr>
          <w:rFonts w:asciiTheme="minorHAnsi" w:hAnsiTheme="minorHAnsi"/>
        </w:rPr>
        <w:t>countries</w:t>
      </w:r>
      <w:r w:rsidR="00E20B8E" w:rsidRPr="00E20B8E">
        <w:rPr>
          <w:rFonts w:asciiTheme="minorHAnsi" w:hAnsiTheme="minorHAnsi"/>
        </w:rPr>
        <w:t>/regions</w:t>
      </w:r>
      <w:r w:rsidRPr="00E20B8E">
        <w:rPr>
          <w:rFonts w:asciiTheme="minorHAnsi" w:hAnsiTheme="minorHAnsi"/>
        </w:rPr>
        <w:t xml:space="preserve"> (and </w:t>
      </w:r>
      <w:r w:rsidR="00E20B8E" w:rsidRPr="00E20B8E">
        <w:rPr>
          <w:rFonts w:asciiTheme="minorHAnsi" w:hAnsiTheme="minorHAnsi"/>
        </w:rPr>
        <w:t xml:space="preserve">11 </w:t>
      </w:r>
      <w:r w:rsidRPr="00E20B8E">
        <w:rPr>
          <w:rFonts w:asciiTheme="minorHAnsi" w:hAnsiTheme="minorHAnsi"/>
        </w:rPr>
        <w:t>benchmarking participants) took part in ‎</w:t>
      </w:r>
      <w:r w:rsidR="005757AD" w:rsidRPr="00E20B8E">
        <w:rPr>
          <w:rFonts w:asciiTheme="minorHAnsi" w:hAnsiTheme="minorHAnsi"/>
        </w:rPr>
        <w:t>PIRLS</w:t>
      </w:r>
      <w:r w:rsidR="00E20B8E" w:rsidRPr="00E20B8E">
        <w:rPr>
          <w:rFonts w:asciiTheme="minorHAnsi" w:hAnsiTheme="minorHAnsi"/>
        </w:rPr>
        <w:t>.</w:t>
      </w:r>
      <w:r w:rsidRPr="00E20B8E">
        <w:rPr>
          <w:rFonts w:asciiTheme="minorHAnsi" w:hAnsiTheme="minorHAnsi"/>
        </w:rPr>
        <w:t xml:space="preserve">  Benchmarking participants are sub-national regions or entities which must follow the same procedures and meet the same data quality standards as countries in order to participate (e.g., the province of Ontario, Canada, or the </w:t>
      </w:r>
      <w:r w:rsidR="00E20B8E" w:rsidRPr="00E20B8E">
        <w:rPr>
          <w:rFonts w:asciiTheme="minorHAnsi" w:hAnsiTheme="minorHAnsi"/>
        </w:rPr>
        <w:t>city of Madrid</w:t>
      </w:r>
      <w:r w:rsidRPr="00E20B8E">
        <w:rPr>
          <w:rFonts w:asciiTheme="minorHAnsi" w:hAnsiTheme="minorHAnsi"/>
        </w:rPr>
        <w:t xml:space="preserve">).  </w:t>
      </w:r>
      <w:r w:rsidR="00E20B8E" w:rsidRPr="00E20B8E">
        <w:rPr>
          <w:rFonts w:asciiTheme="minorHAnsi" w:hAnsiTheme="minorHAnsi"/>
        </w:rPr>
        <w:t xml:space="preserve">As well as pupils, 330,000 parents, 16,000 teachers and 12,000 schools took part. </w:t>
      </w:r>
    </w:p>
    <w:p w14:paraId="2623526B" w14:textId="77777777" w:rsidR="003D227D" w:rsidRDefault="00E20B8E" w:rsidP="00047A21">
      <w:pPr>
        <w:pStyle w:val="maintext"/>
        <w:ind w:left="0" w:firstLine="0"/>
        <w:rPr>
          <w:rFonts w:asciiTheme="minorHAnsi" w:hAnsiTheme="minorHAnsi"/>
        </w:rPr>
      </w:pPr>
      <w:r w:rsidRPr="00E20B8E">
        <w:rPr>
          <w:rFonts w:asciiTheme="minorHAnsi" w:hAnsiTheme="minorHAnsi"/>
        </w:rPr>
        <w:t xml:space="preserve">In Ireland, </w:t>
      </w:r>
      <w:r w:rsidR="005757AD" w:rsidRPr="00E20B8E">
        <w:rPr>
          <w:rFonts w:asciiTheme="minorHAnsi" w:hAnsiTheme="minorHAnsi"/>
        </w:rPr>
        <w:t>PIRLS</w:t>
      </w:r>
      <w:r w:rsidR="003D227D" w:rsidRPr="00E20B8E">
        <w:rPr>
          <w:rFonts w:asciiTheme="minorHAnsi" w:hAnsiTheme="minorHAnsi"/>
        </w:rPr>
        <w:t xml:space="preserve"> </w:t>
      </w:r>
      <w:r w:rsidRPr="00E20B8E">
        <w:rPr>
          <w:rFonts w:asciiTheme="minorHAnsi" w:hAnsiTheme="minorHAnsi"/>
        </w:rPr>
        <w:t xml:space="preserve">and ePIRLS </w:t>
      </w:r>
      <w:r w:rsidR="003D227D" w:rsidRPr="00E20B8E">
        <w:rPr>
          <w:rFonts w:asciiTheme="minorHAnsi" w:hAnsiTheme="minorHAnsi"/>
        </w:rPr>
        <w:t>too</w:t>
      </w:r>
      <w:r w:rsidRPr="00E20B8E">
        <w:rPr>
          <w:rFonts w:asciiTheme="minorHAnsi" w:hAnsiTheme="minorHAnsi"/>
        </w:rPr>
        <w:t xml:space="preserve">k place in schools in April </w:t>
      </w:r>
      <w:r w:rsidR="005757AD" w:rsidRPr="00E20B8E">
        <w:rPr>
          <w:rFonts w:asciiTheme="minorHAnsi" w:hAnsiTheme="minorHAnsi"/>
        </w:rPr>
        <w:t>2016</w:t>
      </w:r>
      <w:r w:rsidR="003D227D" w:rsidRPr="00E20B8E">
        <w:rPr>
          <w:rFonts w:asciiTheme="minorHAnsi" w:hAnsiTheme="minorHAnsi"/>
        </w:rPr>
        <w:t xml:space="preserve">.  </w:t>
      </w:r>
      <w:r w:rsidRPr="00E20B8E">
        <w:rPr>
          <w:rFonts w:asciiTheme="minorHAnsi" w:hAnsiTheme="minorHAnsi"/>
        </w:rPr>
        <w:t>The PIRLS assessment preceded the ePIRLS assessment, and both were conducted on separate days. In total, 4</w:t>
      </w:r>
      <w:r w:rsidR="009601D9">
        <w:rPr>
          <w:rFonts w:asciiTheme="minorHAnsi" w:hAnsiTheme="minorHAnsi"/>
        </w:rPr>
        <w:t>,</w:t>
      </w:r>
      <w:r w:rsidRPr="00E20B8E">
        <w:rPr>
          <w:rFonts w:asciiTheme="minorHAnsi" w:hAnsiTheme="minorHAnsi"/>
        </w:rPr>
        <w:t xml:space="preserve">607 pupils completed PIRLS, while a randomly selected subset of 2,473 </w:t>
      </w:r>
      <w:r w:rsidR="009601D9">
        <w:rPr>
          <w:rFonts w:asciiTheme="minorHAnsi" w:hAnsiTheme="minorHAnsi"/>
        </w:rPr>
        <w:t xml:space="preserve">pupils </w:t>
      </w:r>
      <w:r w:rsidRPr="00E20B8E">
        <w:rPr>
          <w:rFonts w:asciiTheme="minorHAnsi" w:hAnsiTheme="minorHAnsi"/>
        </w:rPr>
        <w:t xml:space="preserve">also completed ePIRLS.  </w:t>
      </w:r>
      <w:r w:rsidR="003D227D" w:rsidRPr="00E20B8E">
        <w:rPr>
          <w:rFonts w:asciiTheme="minorHAnsi" w:hAnsiTheme="minorHAnsi"/>
        </w:rPr>
        <w:t>The ‎assessment</w:t>
      </w:r>
      <w:r w:rsidRPr="00E20B8E">
        <w:rPr>
          <w:rFonts w:asciiTheme="minorHAnsi" w:hAnsiTheme="minorHAnsi"/>
        </w:rPr>
        <w:t>s</w:t>
      </w:r>
      <w:r w:rsidR="003D227D" w:rsidRPr="00E20B8E">
        <w:rPr>
          <w:rFonts w:asciiTheme="minorHAnsi" w:hAnsiTheme="minorHAnsi"/>
        </w:rPr>
        <w:t xml:space="preserve"> </w:t>
      </w:r>
      <w:r w:rsidRPr="00E20B8E">
        <w:rPr>
          <w:rFonts w:asciiTheme="minorHAnsi" w:hAnsiTheme="minorHAnsi"/>
        </w:rPr>
        <w:t xml:space="preserve">were </w:t>
      </w:r>
      <w:r w:rsidR="003D227D" w:rsidRPr="00E20B8E">
        <w:rPr>
          <w:rFonts w:asciiTheme="minorHAnsi" w:hAnsiTheme="minorHAnsi"/>
        </w:rPr>
        <w:t>administered by teachers in participating schools</w:t>
      </w:r>
      <w:r w:rsidRPr="00E20B8E">
        <w:rPr>
          <w:rFonts w:asciiTheme="minorHAnsi" w:hAnsiTheme="minorHAnsi"/>
        </w:rPr>
        <w:t xml:space="preserve">. Each test </w:t>
      </w:r>
      <w:r w:rsidR="003D227D" w:rsidRPr="00E20B8E">
        <w:rPr>
          <w:rFonts w:asciiTheme="minorHAnsi" w:hAnsiTheme="minorHAnsi"/>
        </w:rPr>
        <w:t xml:space="preserve">was allocated </w:t>
      </w:r>
      <w:r w:rsidRPr="00E20B8E">
        <w:rPr>
          <w:rFonts w:asciiTheme="minorHAnsi" w:hAnsiTheme="minorHAnsi"/>
        </w:rPr>
        <w:t xml:space="preserve">80 minutes, with a </w:t>
      </w:r>
      <w:r w:rsidR="003D227D" w:rsidRPr="00E20B8E">
        <w:rPr>
          <w:rFonts w:asciiTheme="minorHAnsi" w:hAnsiTheme="minorHAnsi"/>
        </w:rPr>
        <w:t>short break in the middle</w:t>
      </w:r>
      <w:r w:rsidRPr="00E20B8E">
        <w:rPr>
          <w:rFonts w:asciiTheme="minorHAnsi" w:hAnsiTheme="minorHAnsi"/>
        </w:rPr>
        <w:t xml:space="preserve">. </w:t>
      </w:r>
      <w:r w:rsidR="003D227D" w:rsidRPr="00E20B8E">
        <w:rPr>
          <w:rFonts w:asciiTheme="minorHAnsi" w:hAnsiTheme="minorHAnsi"/>
        </w:rPr>
        <w:t xml:space="preserve">After the </w:t>
      </w:r>
      <w:r w:rsidRPr="00E20B8E">
        <w:rPr>
          <w:rFonts w:asciiTheme="minorHAnsi" w:hAnsiTheme="minorHAnsi"/>
        </w:rPr>
        <w:t xml:space="preserve">PIRLS </w:t>
      </w:r>
      <w:r w:rsidR="003D227D" w:rsidRPr="00E20B8E">
        <w:rPr>
          <w:rFonts w:asciiTheme="minorHAnsi" w:hAnsiTheme="minorHAnsi"/>
        </w:rPr>
        <w:t xml:space="preserve">tests, and generally on ‎the same day, </w:t>
      </w:r>
      <w:r w:rsidR="005757AD" w:rsidRPr="00E20B8E">
        <w:rPr>
          <w:rFonts w:asciiTheme="minorHAnsi" w:hAnsiTheme="minorHAnsi"/>
        </w:rPr>
        <w:t>pupil</w:t>
      </w:r>
      <w:r w:rsidR="003D227D" w:rsidRPr="00E20B8E">
        <w:rPr>
          <w:rFonts w:asciiTheme="minorHAnsi" w:hAnsiTheme="minorHAnsi"/>
        </w:rPr>
        <w:t>s completed questionnaires, which took about 30 minutes</w:t>
      </w:r>
      <w:r w:rsidR="003D227D" w:rsidRPr="00D7156C">
        <w:rPr>
          <w:rFonts w:asciiTheme="minorHAnsi" w:hAnsiTheme="minorHAnsi"/>
          <w:i/>
        </w:rPr>
        <w:t>.</w:t>
      </w:r>
      <w:r w:rsidR="003D227D" w:rsidRPr="00107BBB">
        <w:rPr>
          <w:rFonts w:asciiTheme="minorHAnsi" w:hAnsiTheme="minorHAnsi"/>
        </w:rPr>
        <w:t xml:space="preserve">  ‎</w:t>
      </w:r>
    </w:p>
    <w:p w14:paraId="341DA9DD" w14:textId="77777777" w:rsidR="009601D9" w:rsidRPr="00E20B8E" w:rsidRDefault="009601D9" w:rsidP="00047A21">
      <w:pPr>
        <w:pStyle w:val="maintext"/>
        <w:ind w:left="0" w:firstLine="0"/>
        <w:rPr>
          <w:rFonts w:asciiTheme="minorHAnsi" w:hAnsiTheme="minorHAnsi"/>
          <w:i/>
        </w:rPr>
      </w:pPr>
    </w:p>
    <w:p w14:paraId="710A58B3" w14:textId="77777777" w:rsidR="003D227D" w:rsidRPr="00107BBB" w:rsidRDefault="00481A22" w:rsidP="000D3746">
      <w:pPr>
        <w:spacing w:before="120" w:after="0"/>
        <w:jc w:val="center"/>
        <w:rPr>
          <w:rFonts w:cs="Times New Roman"/>
          <w:b/>
          <w:sz w:val="24"/>
          <w:szCs w:val="24"/>
        </w:rPr>
      </w:pPr>
      <w:r w:rsidRPr="00107BBB">
        <w:rPr>
          <w:rFonts w:cs="Times New Roman"/>
          <w:b/>
          <w:sz w:val="24"/>
          <w:szCs w:val="24"/>
        </w:rPr>
        <w:t>Current and forthcoming national reports</w:t>
      </w:r>
    </w:p>
    <w:p w14:paraId="34F9CDEE" w14:textId="77777777" w:rsidR="003D227D" w:rsidRPr="00E20B8E" w:rsidRDefault="003D227D" w:rsidP="000D3746">
      <w:pPr>
        <w:pStyle w:val="maintext"/>
        <w:overflowPunct/>
        <w:autoSpaceDE/>
        <w:autoSpaceDN/>
        <w:adjustRightInd/>
        <w:spacing w:before="0"/>
        <w:ind w:left="0" w:firstLine="0"/>
        <w:textAlignment w:val="auto"/>
        <w:rPr>
          <w:rFonts w:asciiTheme="minorHAnsi" w:hAnsiTheme="minorHAnsi"/>
        </w:rPr>
      </w:pPr>
      <w:r w:rsidRPr="00E20B8E">
        <w:rPr>
          <w:rFonts w:asciiTheme="minorHAnsi" w:hAnsiTheme="minorHAnsi"/>
        </w:rPr>
        <w:t xml:space="preserve">The report released today – </w:t>
      </w:r>
      <w:r w:rsidR="00CC3A9C" w:rsidRPr="00E56DA0">
        <w:rPr>
          <w:rFonts w:asciiTheme="minorHAnsi" w:hAnsiTheme="minorHAnsi"/>
          <w:i/>
        </w:rPr>
        <w:t>Reading achievement in PIRLS 2016: Initial report for Ireland</w:t>
      </w:r>
      <w:r w:rsidR="00CC3A9C" w:rsidRPr="00E20B8E">
        <w:rPr>
          <w:rFonts w:asciiTheme="minorHAnsi" w:hAnsiTheme="minorHAnsi"/>
        </w:rPr>
        <w:t xml:space="preserve"> </w:t>
      </w:r>
      <w:r w:rsidRPr="00E20B8E">
        <w:rPr>
          <w:rFonts w:asciiTheme="minorHAnsi" w:hAnsiTheme="minorHAnsi"/>
        </w:rPr>
        <w:t xml:space="preserve">– describes the </w:t>
      </w:r>
      <w:r w:rsidR="005757AD" w:rsidRPr="00E20B8E">
        <w:rPr>
          <w:rFonts w:asciiTheme="minorHAnsi" w:hAnsiTheme="minorHAnsi"/>
        </w:rPr>
        <w:t xml:space="preserve">reading </w:t>
      </w:r>
      <w:r w:rsidRPr="00E20B8E">
        <w:rPr>
          <w:rFonts w:asciiTheme="minorHAnsi" w:hAnsiTheme="minorHAnsi"/>
        </w:rPr>
        <w:t xml:space="preserve">achievement of </w:t>
      </w:r>
      <w:r w:rsidR="005757AD" w:rsidRPr="00E20B8E">
        <w:rPr>
          <w:rFonts w:asciiTheme="minorHAnsi" w:hAnsiTheme="minorHAnsi"/>
        </w:rPr>
        <w:t>pupil</w:t>
      </w:r>
      <w:r w:rsidRPr="00E20B8E">
        <w:rPr>
          <w:rFonts w:asciiTheme="minorHAnsi" w:hAnsiTheme="minorHAnsi"/>
        </w:rPr>
        <w:t xml:space="preserve">s in Fourth Class, for both </w:t>
      </w:r>
      <w:r w:rsidR="00CC3A9C" w:rsidRPr="00E20B8E">
        <w:rPr>
          <w:rFonts w:asciiTheme="minorHAnsi" w:hAnsiTheme="minorHAnsi"/>
        </w:rPr>
        <w:t>paper-based reading and reading in an online environment</w:t>
      </w:r>
      <w:r w:rsidRPr="00E20B8E">
        <w:rPr>
          <w:rFonts w:asciiTheme="minorHAnsi" w:hAnsiTheme="minorHAnsi"/>
        </w:rPr>
        <w:t>.  It focuses on the results of the tests, and contains information on mean (average) performance, the distribution of performance (e.g., how high</w:t>
      </w:r>
      <w:r w:rsidR="00B14D98" w:rsidRPr="00E20B8E">
        <w:rPr>
          <w:rFonts w:asciiTheme="minorHAnsi" w:hAnsiTheme="minorHAnsi"/>
        </w:rPr>
        <w:t>er</w:t>
      </w:r>
      <w:r w:rsidRPr="00E20B8E">
        <w:rPr>
          <w:rFonts w:asciiTheme="minorHAnsi" w:hAnsiTheme="minorHAnsi"/>
        </w:rPr>
        <w:t>- and low</w:t>
      </w:r>
      <w:r w:rsidR="00B14D98" w:rsidRPr="00E20B8E">
        <w:rPr>
          <w:rFonts w:asciiTheme="minorHAnsi" w:hAnsiTheme="minorHAnsi"/>
        </w:rPr>
        <w:t>er</w:t>
      </w:r>
      <w:r w:rsidRPr="00E20B8E">
        <w:rPr>
          <w:rFonts w:asciiTheme="minorHAnsi" w:hAnsiTheme="minorHAnsi"/>
        </w:rPr>
        <w:t xml:space="preserve">-achieving </w:t>
      </w:r>
      <w:r w:rsidR="005757AD" w:rsidRPr="00E20B8E">
        <w:rPr>
          <w:rFonts w:asciiTheme="minorHAnsi" w:hAnsiTheme="minorHAnsi"/>
        </w:rPr>
        <w:t>pupil</w:t>
      </w:r>
      <w:r w:rsidRPr="00E20B8E">
        <w:rPr>
          <w:rFonts w:asciiTheme="minorHAnsi" w:hAnsiTheme="minorHAnsi"/>
        </w:rPr>
        <w:t xml:space="preserve">s in Ireland compare to their peers in other countries), the percentage of </w:t>
      </w:r>
      <w:r w:rsidR="005757AD" w:rsidRPr="00E20B8E">
        <w:rPr>
          <w:rFonts w:asciiTheme="minorHAnsi" w:hAnsiTheme="minorHAnsi"/>
        </w:rPr>
        <w:t>pupil</w:t>
      </w:r>
      <w:r w:rsidRPr="00E20B8E">
        <w:rPr>
          <w:rFonts w:asciiTheme="minorHAnsi" w:hAnsiTheme="minorHAnsi"/>
        </w:rPr>
        <w:t xml:space="preserve">s reaching each of four internationally-defined Benchmarks of achievement, and areas of relative strength and weakness in the performance of </w:t>
      </w:r>
      <w:r w:rsidR="005757AD" w:rsidRPr="00E20B8E">
        <w:rPr>
          <w:rFonts w:asciiTheme="minorHAnsi" w:hAnsiTheme="minorHAnsi"/>
        </w:rPr>
        <w:t>pupil</w:t>
      </w:r>
      <w:r w:rsidRPr="00E20B8E">
        <w:rPr>
          <w:rFonts w:asciiTheme="minorHAnsi" w:hAnsiTheme="minorHAnsi"/>
        </w:rPr>
        <w:t xml:space="preserve">s in Ireland.  </w:t>
      </w:r>
    </w:p>
    <w:p w14:paraId="6E5DE386" w14:textId="77777777" w:rsidR="00CC3A9C" w:rsidRDefault="003D227D" w:rsidP="00CC3A9C">
      <w:pPr>
        <w:pStyle w:val="maintext"/>
        <w:ind w:left="0" w:firstLine="0"/>
        <w:rPr>
          <w:rFonts w:asciiTheme="minorHAnsi" w:hAnsiTheme="minorHAnsi"/>
        </w:rPr>
      </w:pPr>
      <w:r w:rsidRPr="00107BBB">
        <w:rPr>
          <w:rFonts w:asciiTheme="minorHAnsi" w:hAnsiTheme="minorHAnsi"/>
        </w:rPr>
        <w:t>In 201</w:t>
      </w:r>
      <w:r w:rsidR="00CC3A9C">
        <w:rPr>
          <w:rFonts w:asciiTheme="minorHAnsi" w:hAnsiTheme="minorHAnsi"/>
        </w:rPr>
        <w:t>8</w:t>
      </w:r>
      <w:r w:rsidRPr="00107BBB">
        <w:rPr>
          <w:rFonts w:asciiTheme="minorHAnsi" w:hAnsiTheme="minorHAnsi"/>
        </w:rPr>
        <w:t xml:space="preserve">, a number of contextual reports will be published by the Educational ‎Research Centre that will examine the educational context in Ireland more broadly, together with ‎associations between contextual factors and </w:t>
      </w:r>
      <w:r w:rsidR="005757AD">
        <w:rPr>
          <w:rFonts w:asciiTheme="minorHAnsi" w:hAnsiTheme="minorHAnsi"/>
        </w:rPr>
        <w:t>pupil</w:t>
      </w:r>
      <w:r w:rsidRPr="00107BBB">
        <w:rPr>
          <w:rFonts w:asciiTheme="minorHAnsi" w:hAnsiTheme="minorHAnsi"/>
        </w:rPr>
        <w:t xml:space="preserve"> achievement.  </w:t>
      </w:r>
      <w:r w:rsidR="00E56DA0">
        <w:rPr>
          <w:rFonts w:asciiTheme="minorHAnsi" w:hAnsiTheme="minorHAnsi"/>
        </w:rPr>
        <w:t xml:space="preserve">In particular, it will examine the relationship between performance on the online assessment and on the paper-based assessment. </w:t>
      </w:r>
    </w:p>
    <w:p w14:paraId="22EE7122" w14:textId="77777777" w:rsidR="00CC3A9C" w:rsidRDefault="00CC3A9C" w:rsidP="00CC3A9C">
      <w:pPr>
        <w:pStyle w:val="maintext"/>
        <w:ind w:left="0" w:firstLine="0"/>
        <w:rPr>
          <w:rFonts w:asciiTheme="minorHAnsi" w:hAnsiTheme="minorHAnsi"/>
        </w:rPr>
      </w:pPr>
    </w:p>
    <w:p w14:paraId="3076FD18" w14:textId="77777777" w:rsidR="005318C0" w:rsidRPr="00C83952" w:rsidRDefault="000410E9" w:rsidP="00CC3A9C">
      <w:pPr>
        <w:pStyle w:val="maintext"/>
        <w:ind w:left="0" w:firstLine="0"/>
        <w:rPr>
          <w:rFonts w:asciiTheme="minorHAnsi" w:hAnsiTheme="minorHAnsi"/>
          <w:b/>
        </w:rPr>
      </w:pPr>
      <w:r w:rsidRPr="00C83952">
        <w:rPr>
          <w:rFonts w:asciiTheme="minorHAnsi" w:hAnsiTheme="minorHAnsi"/>
          <w:b/>
        </w:rPr>
        <w:t>More information</w:t>
      </w:r>
    </w:p>
    <w:p w14:paraId="5FD85018" w14:textId="77777777" w:rsidR="005757AD" w:rsidRPr="00396931" w:rsidRDefault="000410E9" w:rsidP="005757AD">
      <w:pPr>
        <w:rPr>
          <w:rFonts w:cs="Times New Roman"/>
          <w:sz w:val="24"/>
          <w:szCs w:val="24"/>
        </w:rPr>
      </w:pPr>
      <w:r w:rsidRPr="00107BBB">
        <w:rPr>
          <w:rFonts w:cs="Times New Roman"/>
          <w:sz w:val="24"/>
          <w:szCs w:val="24"/>
        </w:rPr>
        <w:lastRenderedPageBreak/>
        <w:t xml:space="preserve">The report is available for free download from </w:t>
      </w:r>
      <w:hyperlink r:id="rId8" w:history="1">
        <w:r w:rsidRPr="00107BBB">
          <w:rPr>
            <w:rStyle w:val="Hyperlink"/>
            <w:rFonts w:cs="Times New Roman"/>
            <w:sz w:val="24"/>
            <w:szCs w:val="24"/>
          </w:rPr>
          <w:t>www.erc.ie</w:t>
        </w:r>
      </w:hyperlink>
      <w:r w:rsidRPr="00107BBB">
        <w:rPr>
          <w:rFonts w:cs="Times New Roman"/>
          <w:sz w:val="24"/>
          <w:szCs w:val="24"/>
        </w:rPr>
        <w:t xml:space="preserve">. </w:t>
      </w:r>
      <w:r w:rsidR="000D3746" w:rsidRPr="00107BBB">
        <w:rPr>
          <w:rFonts w:cs="Times New Roman"/>
          <w:sz w:val="24"/>
          <w:szCs w:val="24"/>
        </w:rPr>
        <w:t xml:space="preserve"> </w:t>
      </w:r>
      <w:r w:rsidRPr="00107BBB">
        <w:rPr>
          <w:rFonts w:cs="Times New Roman"/>
          <w:sz w:val="24"/>
          <w:szCs w:val="24"/>
        </w:rPr>
        <w:t xml:space="preserve">More information about </w:t>
      </w:r>
      <w:r w:rsidR="005757AD">
        <w:rPr>
          <w:rFonts w:cs="Times New Roman"/>
          <w:sz w:val="24"/>
          <w:szCs w:val="24"/>
        </w:rPr>
        <w:t>PIRLS</w:t>
      </w:r>
      <w:r w:rsidRPr="00107BBB">
        <w:rPr>
          <w:rFonts w:cs="Times New Roman"/>
          <w:sz w:val="24"/>
          <w:szCs w:val="24"/>
        </w:rPr>
        <w:t xml:space="preserve"> is </w:t>
      </w:r>
      <w:r w:rsidRPr="00396931">
        <w:rPr>
          <w:rFonts w:cs="Times New Roman"/>
          <w:sz w:val="24"/>
          <w:szCs w:val="24"/>
        </w:rPr>
        <w:t xml:space="preserve">also available from </w:t>
      </w:r>
      <w:hyperlink r:id="rId9" w:history="1">
        <w:r w:rsidRPr="00396931">
          <w:rPr>
            <w:rStyle w:val="Hyperlink"/>
            <w:rFonts w:cs="Times New Roman"/>
            <w:sz w:val="24"/>
            <w:szCs w:val="24"/>
          </w:rPr>
          <w:t>www.erc.ie/</w:t>
        </w:r>
        <w:r w:rsidR="005757AD" w:rsidRPr="00396931">
          <w:rPr>
            <w:rStyle w:val="Hyperlink"/>
            <w:rFonts w:cs="Times New Roman"/>
            <w:sz w:val="24"/>
            <w:szCs w:val="24"/>
          </w:rPr>
          <w:t>PIRLS</w:t>
        </w:r>
      </w:hyperlink>
      <w:r w:rsidRPr="00396931">
        <w:rPr>
          <w:rFonts w:cs="Times New Roman"/>
          <w:sz w:val="24"/>
          <w:szCs w:val="24"/>
        </w:rPr>
        <w:t>.</w:t>
      </w:r>
      <w:r w:rsidR="007F7825" w:rsidRPr="00396931">
        <w:rPr>
          <w:rFonts w:cs="Times New Roman"/>
          <w:sz w:val="24"/>
          <w:szCs w:val="24"/>
        </w:rPr>
        <w:t xml:space="preserve">  The authors and report title are as follows:</w:t>
      </w:r>
    </w:p>
    <w:p w14:paraId="08858269" w14:textId="77777777" w:rsidR="005757AD" w:rsidRPr="000658E0" w:rsidRDefault="005757AD" w:rsidP="005757AD">
      <w:pPr>
        <w:rPr>
          <w:rFonts w:cs="Times New Roman"/>
          <w:sz w:val="24"/>
          <w:szCs w:val="24"/>
        </w:rPr>
      </w:pPr>
      <w:r w:rsidRPr="000658E0">
        <w:rPr>
          <w:sz w:val="24"/>
          <w:szCs w:val="24"/>
        </w:rPr>
        <w:t xml:space="preserve">Eemer Eivers, Lorraine Gilleece &amp; Emer Delaney. Reading achievement in PIRLS 2016: Initial report for Ireland. </w:t>
      </w:r>
      <w:r w:rsidRPr="000658E0">
        <w:rPr>
          <w:rFonts w:cs="Times New Roman"/>
          <w:sz w:val="24"/>
          <w:szCs w:val="24"/>
        </w:rPr>
        <w:t xml:space="preserve">Dublin: Educational Research Centre. </w:t>
      </w:r>
    </w:p>
    <w:p w14:paraId="04E8B9E2" w14:textId="4D0AA239" w:rsidR="005757AD" w:rsidRDefault="000658E0" w:rsidP="005757AD">
      <w:pPr>
        <w:rPr>
          <w:b/>
        </w:rPr>
      </w:pPr>
      <w:r>
        <w:rPr>
          <w:b/>
        </w:rPr>
        <w:t>On DEIS schools</w:t>
      </w:r>
    </w:p>
    <w:p w14:paraId="65B432B8" w14:textId="13B366FF" w:rsidR="000658E0" w:rsidRPr="000658E0" w:rsidRDefault="000658E0" w:rsidP="005757AD">
      <w:r>
        <w:t xml:space="preserve">Report on DEIS schools from the Education Research Centre: </w:t>
      </w:r>
      <w:r w:rsidRPr="001504C3">
        <w:rPr>
          <w:rFonts w:cstheme="minorHAnsi"/>
        </w:rPr>
        <w:t xml:space="preserve">Kavanagh, </w:t>
      </w:r>
      <w:r>
        <w:rPr>
          <w:rFonts w:cstheme="minorHAnsi"/>
        </w:rPr>
        <w:t>Weir</w:t>
      </w:r>
      <w:r w:rsidRPr="001504C3">
        <w:rPr>
          <w:rFonts w:cstheme="minorHAnsi"/>
        </w:rPr>
        <w:t xml:space="preserve"> &amp; Moran,. </w:t>
      </w:r>
      <w:r w:rsidRPr="001504C3">
        <w:rPr>
          <w:rStyle w:val="Emphasis"/>
          <w:rFonts w:cstheme="minorHAnsi"/>
        </w:rPr>
        <w:t>The evaluation of DEIS: Monitoring achievement and attitudes among urban primary school pupils from 2007 to 2016</w:t>
      </w:r>
      <w:r w:rsidRPr="001504C3">
        <w:rPr>
          <w:rFonts w:cstheme="minorHAnsi"/>
        </w:rPr>
        <w:t xml:space="preserve">  (2017)</w:t>
      </w:r>
    </w:p>
    <w:p w14:paraId="6F2FCE5E" w14:textId="77777777" w:rsidR="00EA0E20" w:rsidRPr="00E56DA0" w:rsidRDefault="000410E9" w:rsidP="00E56DA0">
      <w:pPr>
        <w:spacing w:before="120" w:after="0"/>
        <w:rPr>
          <w:rFonts w:cs="Times New Roman"/>
          <w:b/>
          <w:sz w:val="24"/>
          <w:szCs w:val="24"/>
        </w:rPr>
      </w:pPr>
      <w:r w:rsidRPr="00E56DA0">
        <w:rPr>
          <w:rFonts w:cs="Times New Roman"/>
          <w:b/>
          <w:sz w:val="24"/>
          <w:szCs w:val="24"/>
        </w:rPr>
        <w:t>Contact details</w:t>
      </w:r>
    </w:p>
    <w:p w14:paraId="1EB8784C" w14:textId="5170EB62" w:rsidR="00F32962" w:rsidRDefault="00F32962" w:rsidP="000410E9">
      <w:pPr>
        <w:pStyle w:val="ListParagraph"/>
        <w:numPr>
          <w:ilvl w:val="0"/>
          <w:numId w:val="18"/>
        </w:numPr>
        <w:rPr>
          <w:rFonts w:cs="Times New Roman"/>
          <w:sz w:val="24"/>
          <w:szCs w:val="24"/>
        </w:rPr>
      </w:pPr>
      <w:r>
        <w:rPr>
          <w:rFonts w:cs="Times New Roman"/>
          <w:sz w:val="24"/>
          <w:szCs w:val="24"/>
        </w:rPr>
        <w:t>Sarah O’Neill, Press Advisor – 0876964066</w:t>
      </w:r>
    </w:p>
    <w:p w14:paraId="6468DB2D" w14:textId="63C9A262" w:rsidR="00F32962" w:rsidRDefault="00F32962" w:rsidP="000410E9">
      <w:pPr>
        <w:pStyle w:val="ListParagraph"/>
        <w:numPr>
          <w:ilvl w:val="0"/>
          <w:numId w:val="18"/>
        </w:numPr>
        <w:rPr>
          <w:rFonts w:cs="Times New Roman"/>
          <w:sz w:val="24"/>
          <w:szCs w:val="24"/>
        </w:rPr>
      </w:pPr>
      <w:r>
        <w:rPr>
          <w:rFonts w:cs="Times New Roman"/>
          <w:sz w:val="24"/>
          <w:szCs w:val="24"/>
        </w:rPr>
        <w:t xml:space="preserve">Karen Smith, Press Office </w:t>
      </w:r>
      <w:r w:rsidR="00763D64">
        <w:rPr>
          <w:rFonts w:cs="Times New Roman"/>
          <w:sz w:val="24"/>
          <w:szCs w:val="24"/>
        </w:rPr>
        <w:t>–</w:t>
      </w:r>
      <w:r>
        <w:rPr>
          <w:rFonts w:cs="Times New Roman"/>
          <w:sz w:val="24"/>
          <w:szCs w:val="24"/>
        </w:rPr>
        <w:t xml:space="preserve"> </w:t>
      </w:r>
      <w:r w:rsidR="00763D64">
        <w:rPr>
          <w:rFonts w:cs="Times New Roman"/>
          <w:sz w:val="24"/>
          <w:szCs w:val="24"/>
        </w:rPr>
        <w:t>01 889 2322</w:t>
      </w:r>
    </w:p>
    <w:p w14:paraId="180CDFFE" w14:textId="77777777" w:rsidR="000410E9" w:rsidRPr="00107BBB" w:rsidRDefault="000410E9" w:rsidP="000410E9">
      <w:pPr>
        <w:pStyle w:val="ListParagraph"/>
        <w:numPr>
          <w:ilvl w:val="0"/>
          <w:numId w:val="18"/>
        </w:numPr>
        <w:rPr>
          <w:rFonts w:cs="Times New Roman"/>
          <w:sz w:val="24"/>
          <w:szCs w:val="24"/>
        </w:rPr>
      </w:pPr>
      <w:r w:rsidRPr="00107BBB">
        <w:rPr>
          <w:rFonts w:cs="Times New Roman"/>
          <w:sz w:val="24"/>
          <w:szCs w:val="24"/>
        </w:rPr>
        <w:t xml:space="preserve">Eemer Eivers </w:t>
      </w:r>
      <w:r w:rsidR="007F7825" w:rsidRPr="00107BBB">
        <w:rPr>
          <w:rFonts w:cs="Times New Roman"/>
          <w:sz w:val="24"/>
          <w:szCs w:val="24"/>
        </w:rPr>
        <w:tab/>
      </w:r>
      <w:r w:rsidRPr="00107BBB">
        <w:rPr>
          <w:rFonts w:cs="Times New Roman"/>
          <w:sz w:val="24"/>
          <w:szCs w:val="24"/>
        </w:rPr>
        <w:t xml:space="preserve">01 </w:t>
      </w:r>
      <w:r w:rsidR="00322176" w:rsidRPr="00107BBB">
        <w:rPr>
          <w:rFonts w:cs="Times New Roman"/>
          <w:sz w:val="24"/>
          <w:szCs w:val="24"/>
        </w:rPr>
        <w:t xml:space="preserve">8065 203 </w:t>
      </w:r>
      <w:r w:rsidR="005757AD">
        <w:rPr>
          <w:rFonts w:cs="Times New Roman"/>
          <w:sz w:val="24"/>
          <w:szCs w:val="24"/>
        </w:rPr>
        <w:t>/ 087 659 0205</w:t>
      </w:r>
      <w:r w:rsidR="00322176" w:rsidRPr="00107BBB">
        <w:rPr>
          <w:rFonts w:cs="Times New Roman"/>
          <w:sz w:val="24"/>
          <w:szCs w:val="24"/>
        </w:rPr>
        <w:tab/>
      </w:r>
      <w:hyperlink r:id="rId10" w:history="1">
        <w:r w:rsidRPr="00107BBB">
          <w:rPr>
            <w:rStyle w:val="Hyperlink"/>
            <w:rFonts w:cs="Times New Roman"/>
            <w:sz w:val="24"/>
            <w:szCs w:val="24"/>
          </w:rPr>
          <w:t>eemer.eivers@erc.ie</w:t>
        </w:r>
      </w:hyperlink>
      <w:r w:rsidRPr="00107BBB">
        <w:rPr>
          <w:rFonts w:cs="Times New Roman"/>
          <w:sz w:val="24"/>
          <w:szCs w:val="24"/>
        </w:rPr>
        <w:t xml:space="preserve"> </w:t>
      </w:r>
    </w:p>
    <w:p w14:paraId="40F9BFDB" w14:textId="77777777" w:rsidR="005757AD" w:rsidRDefault="005757AD" w:rsidP="00A27626">
      <w:pPr>
        <w:pStyle w:val="ListParagraph"/>
        <w:numPr>
          <w:ilvl w:val="0"/>
          <w:numId w:val="18"/>
        </w:numPr>
        <w:rPr>
          <w:rFonts w:cs="Times New Roman"/>
          <w:sz w:val="24"/>
          <w:szCs w:val="24"/>
        </w:rPr>
      </w:pPr>
      <w:r>
        <w:rPr>
          <w:rFonts w:cs="Times New Roman"/>
          <w:sz w:val="24"/>
          <w:szCs w:val="24"/>
        </w:rPr>
        <w:t>Lorraine Gilleece</w:t>
      </w:r>
      <w:r>
        <w:rPr>
          <w:rFonts w:cs="Times New Roman"/>
          <w:sz w:val="24"/>
          <w:szCs w:val="24"/>
        </w:rPr>
        <w:tab/>
        <w:t>01 8065 215</w:t>
      </w:r>
      <w:r>
        <w:rPr>
          <w:rFonts w:cs="Times New Roman"/>
          <w:sz w:val="24"/>
          <w:szCs w:val="24"/>
        </w:rPr>
        <w:tab/>
      </w:r>
      <w:r>
        <w:rPr>
          <w:rFonts w:cs="Times New Roman"/>
          <w:sz w:val="24"/>
          <w:szCs w:val="24"/>
        </w:rPr>
        <w:tab/>
      </w:r>
      <w:hyperlink r:id="rId11" w:history="1">
        <w:r w:rsidRPr="00721E28">
          <w:rPr>
            <w:rStyle w:val="Hyperlink"/>
            <w:rFonts w:cs="Times New Roman"/>
            <w:sz w:val="24"/>
            <w:szCs w:val="24"/>
          </w:rPr>
          <w:t>Lorraine.gilleece@erc.ie</w:t>
        </w:r>
      </w:hyperlink>
      <w:r>
        <w:rPr>
          <w:rFonts w:cs="Times New Roman"/>
          <w:sz w:val="24"/>
          <w:szCs w:val="24"/>
        </w:rPr>
        <w:t xml:space="preserve"> </w:t>
      </w:r>
    </w:p>
    <w:p w14:paraId="48421152" w14:textId="77777777" w:rsidR="006E24E9" w:rsidRDefault="00322176" w:rsidP="006E24E9">
      <w:pPr>
        <w:pStyle w:val="ListParagraph"/>
        <w:numPr>
          <w:ilvl w:val="0"/>
          <w:numId w:val="18"/>
        </w:numPr>
        <w:tabs>
          <w:tab w:val="left" w:pos="1560"/>
          <w:tab w:val="left" w:pos="2977"/>
          <w:tab w:val="left" w:pos="4962"/>
        </w:tabs>
        <w:rPr>
          <w:rFonts w:cs="Times New Roman"/>
          <w:sz w:val="24"/>
          <w:szCs w:val="24"/>
        </w:rPr>
      </w:pPr>
      <w:r w:rsidRPr="00107BBB">
        <w:rPr>
          <w:rFonts w:cs="Times New Roman"/>
          <w:sz w:val="24"/>
          <w:szCs w:val="24"/>
        </w:rPr>
        <w:t xml:space="preserve">ERC </w:t>
      </w:r>
      <w:r w:rsidR="006E24E9">
        <w:rPr>
          <w:rFonts w:cs="Times New Roman"/>
          <w:sz w:val="24"/>
          <w:szCs w:val="24"/>
        </w:rPr>
        <w:tab/>
      </w:r>
      <w:r w:rsidRPr="00107BBB">
        <w:rPr>
          <w:rFonts w:cs="Times New Roman"/>
          <w:sz w:val="24"/>
          <w:szCs w:val="24"/>
        </w:rPr>
        <w:t xml:space="preserve">01 8373 789 </w:t>
      </w:r>
      <w:r w:rsidR="007F7825" w:rsidRPr="00107BBB">
        <w:rPr>
          <w:rFonts w:cs="Times New Roman"/>
          <w:sz w:val="24"/>
          <w:szCs w:val="24"/>
        </w:rPr>
        <w:tab/>
      </w:r>
      <w:hyperlink r:id="rId12" w:history="1">
        <w:r w:rsidR="006E24E9" w:rsidRPr="00BB446C">
          <w:rPr>
            <w:rStyle w:val="Hyperlink"/>
            <w:rFonts w:cs="Times New Roman"/>
            <w:sz w:val="24"/>
            <w:szCs w:val="24"/>
          </w:rPr>
          <w:t>PIRLS@erc.ie</w:t>
        </w:r>
      </w:hyperlink>
      <w:r w:rsidR="000410E9" w:rsidRPr="00107BBB">
        <w:rPr>
          <w:rFonts w:cs="Times New Roman"/>
          <w:sz w:val="24"/>
          <w:szCs w:val="24"/>
        </w:rPr>
        <w:t xml:space="preserve"> </w:t>
      </w:r>
      <w:r w:rsidR="006E24E9">
        <w:rPr>
          <w:rFonts w:cs="Times New Roman"/>
          <w:sz w:val="24"/>
          <w:szCs w:val="24"/>
        </w:rPr>
        <w:tab/>
      </w:r>
      <w:hyperlink r:id="rId13" w:history="1">
        <w:r w:rsidR="006E24E9" w:rsidRPr="00BB446C">
          <w:rPr>
            <w:rStyle w:val="Hyperlink"/>
            <w:rFonts w:cs="Times New Roman"/>
            <w:sz w:val="24"/>
            <w:szCs w:val="24"/>
          </w:rPr>
          <w:t>www.erc.ie</w:t>
        </w:r>
      </w:hyperlink>
      <w:r w:rsidR="006E24E9">
        <w:rPr>
          <w:rFonts w:cs="Times New Roman"/>
          <w:sz w:val="24"/>
          <w:szCs w:val="24"/>
        </w:rPr>
        <w:t xml:space="preserve"> </w:t>
      </w:r>
      <w:r w:rsidR="006E24E9">
        <w:rPr>
          <w:rFonts w:cs="Times New Roman"/>
          <w:sz w:val="24"/>
          <w:szCs w:val="24"/>
        </w:rPr>
        <w:tab/>
        <w:t xml:space="preserve">@ERC_IRL </w:t>
      </w:r>
    </w:p>
    <w:p w14:paraId="299F4BAF" w14:textId="77777777" w:rsidR="00A27626" w:rsidRPr="00107BBB" w:rsidRDefault="00C0670C" w:rsidP="00A27626">
      <w:pPr>
        <w:pStyle w:val="ListParagraph"/>
        <w:numPr>
          <w:ilvl w:val="0"/>
          <w:numId w:val="18"/>
        </w:numPr>
        <w:rPr>
          <w:rFonts w:cs="Times New Roman"/>
          <w:sz w:val="24"/>
          <w:szCs w:val="24"/>
        </w:rPr>
      </w:pPr>
      <w:r w:rsidRPr="00107BBB">
        <w:rPr>
          <w:rFonts w:cs="Times New Roman"/>
          <w:sz w:val="24"/>
          <w:szCs w:val="24"/>
        </w:rPr>
        <w:br w:type="page"/>
      </w:r>
    </w:p>
    <w:p w14:paraId="5F274AB2" w14:textId="77777777" w:rsidR="00A27626" w:rsidRDefault="00131CD3" w:rsidP="00A27626">
      <w:pPr>
        <w:pStyle w:val="ListParagraph"/>
        <w:rPr>
          <w:rFonts w:cs="Times New Roman"/>
          <w:b/>
          <w:sz w:val="24"/>
          <w:szCs w:val="24"/>
        </w:rPr>
      </w:pPr>
      <w:r>
        <w:rPr>
          <w:rFonts w:cs="Times New Roman"/>
          <w:b/>
          <w:sz w:val="24"/>
          <w:szCs w:val="24"/>
        </w:rPr>
        <w:lastRenderedPageBreak/>
        <w:t>C</w:t>
      </w:r>
      <w:r w:rsidR="00A27626" w:rsidRPr="00107BBB">
        <w:rPr>
          <w:rFonts w:cs="Times New Roman"/>
          <w:b/>
          <w:sz w:val="24"/>
          <w:szCs w:val="24"/>
        </w:rPr>
        <w:t>ountry mean scores</w:t>
      </w:r>
    </w:p>
    <w:p w14:paraId="01696B81" w14:textId="77777777" w:rsidR="00131CD3" w:rsidRDefault="00270ED4" w:rsidP="00131CD3">
      <w:pPr>
        <w:pStyle w:val="tabletitle"/>
      </w:pPr>
      <w:r>
        <w:t xml:space="preserve">PIRLS mean </w:t>
      </w:r>
      <w:r w:rsidR="00131CD3">
        <w:t xml:space="preserve">scores and standard errors, and position relative to the Irish mean and PIRLS centrepoint </w:t>
      </w:r>
    </w:p>
    <w:tbl>
      <w:tblPr>
        <w:tblStyle w:val="TableGrid"/>
        <w:tblW w:w="0" w:type="auto"/>
        <w:jc w:val="center"/>
        <w:tblLayout w:type="fixed"/>
        <w:tblLook w:val="04A0" w:firstRow="1" w:lastRow="0" w:firstColumn="1" w:lastColumn="0" w:noHBand="0" w:noVBand="1"/>
      </w:tblPr>
      <w:tblGrid>
        <w:gridCol w:w="1806"/>
        <w:gridCol w:w="1455"/>
        <w:gridCol w:w="1067"/>
        <w:gridCol w:w="1342"/>
        <w:gridCol w:w="1426"/>
      </w:tblGrid>
      <w:tr w:rsidR="00270ED4" w:rsidRPr="00E60B0F" w14:paraId="2D2C6BF0" w14:textId="77777777" w:rsidTr="00270ED4">
        <w:trPr>
          <w:jc w:val="center"/>
        </w:trPr>
        <w:tc>
          <w:tcPr>
            <w:tcW w:w="1806" w:type="dxa"/>
            <w:tcBorders>
              <w:left w:val="nil"/>
            </w:tcBorders>
            <w:shd w:val="clear" w:color="auto" w:fill="auto"/>
            <w:vAlign w:val="center"/>
          </w:tcPr>
          <w:p w14:paraId="444DE95D" w14:textId="77777777" w:rsidR="00270ED4" w:rsidRPr="00D2316B" w:rsidRDefault="00270ED4" w:rsidP="00270ED4">
            <w:pPr>
              <w:pStyle w:val="tablerow1"/>
              <w:spacing w:before="20" w:after="20"/>
              <w:rPr>
                <w:sz w:val="17"/>
                <w:szCs w:val="17"/>
              </w:rPr>
            </w:pPr>
          </w:p>
        </w:tc>
        <w:tc>
          <w:tcPr>
            <w:tcW w:w="1455" w:type="dxa"/>
            <w:vAlign w:val="center"/>
          </w:tcPr>
          <w:p w14:paraId="7BFE62C9" w14:textId="77777777" w:rsidR="00270ED4" w:rsidRPr="00D2316B" w:rsidRDefault="00270ED4" w:rsidP="00270ED4">
            <w:pPr>
              <w:pStyle w:val="tablerow1"/>
              <w:tabs>
                <w:tab w:val="center" w:pos="600"/>
              </w:tabs>
              <w:spacing w:before="20" w:after="20"/>
              <w:rPr>
                <w:sz w:val="17"/>
                <w:szCs w:val="17"/>
              </w:rPr>
            </w:pPr>
            <w:r w:rsidRPr="00D2316B">
              <w:rPr>
                <w:sz w:val="17"/>
                <w:szCs w:val="17"/>
              </w:rPr>
              <w:t>Mean</w:t>
            </w:r>
          </w:p>
        </w:tc>
        <w:tc>
          <w:tcPr>
            <w:tcW w:w="1067" w:type="dxa"/>
            <w:vAlign w:val="center"/>
          </w:tcPr>
          <w:p w14:paraId="6920A1B1" w14:textId="77777777" w:rsidR="00270ED4" w:rsidRPr="00D2316B" w:rsidRDefault="00270ED4" w:rsidP="00270ED4">
            <w:pPr>
              <w:pStyle w:val="tablerow1"/>
              <w:spacing w:before="20" w:after="20"/>
              <w:rPr>
                <w:sz w:val="17"/>
                <w:szCs w:val="17"/>
              </w:rPr>
            </w:pPr>
            <w:r w:rsidRPr="00D2316B">
              <w:rPr>
                <w:sz w:val="17"/>
                <w:szCs w:val="17"/>
              </w:rPr>
              <w:t>SE</w:t>
            </w:r>
          </w:p>
        </w:tc>
        <w:tc>
          <w:tcPr>
            <w:tcW w:w="1342" w:type="dxa"/>
          </w:tcPr>
          <w:p w14:paraId="23E7FA10" w14:textId="77777777" w:rsidR="00270ED4" w:rsidRDefault="00270ED4" w:rsidP="00270ED4">
            <w:pPr>
              <w:pStyle w:val="tablerow1"/>
              <w:spacing w:before="0" w:after="0"/>
            </w:pPr>
            <w:r>
              <w:t>vs Ireland</w:t>
            </w:r>
          </w:p>
        </w:tc>
        <w:tc>
          <w:tcPr>
            <w:tcW w:w="1426" w:type="dxa"/>
            <w:tcBorders>
              <w:right w:val="nil"/>
            </w:tcBorders>
          </w:tcPr>
          <w:p w14:paraId="15710DD5" w14:textId="77777777" w:rsidR="00270ED4" w:rsidRPr="00E60B0F" w:rsidRDefault="00270ED4" w:rsidP="00270ED4">
            <w:pPr>
              <w:pStyle w:val="tablerow1"/>
              <w:spacing w:before="0" w:after="0"/>
            </w:pPr>
            <w:r>
              <w:t>vs</w:t>
            </w:r>
            <w:r w:rsidRPr="00E60B0F">
              <w:t xml:space="preserve"> </w:t>
            </w:r>
            <w:r>
              <w:t>centrepoint</w:t>
            </w:r>
          </w:p>
        </w:tc>
      </w:tr>
      <w:tr w:rsidR="00270ED4" w:rsidRPr="00E60B0F" w14:paraId="1F0C95E6" w14:textId="77777777" w:rsidTr="00270ED4">
        <w:trPr>
          <w:jc w:val="center"/>
        </w:trPr>
        <w:tc>
          <w:tcPr>
            <w:tcW w:w="1806" w:type="dxa"/>
            <w:tcBorders>
              <w:left w:val="nil"/>
            </w:tcBorders>
            <w:shd w:val="clear" w:color="auto" w:fill="92D050"/>
            <w:vAlign w:val="center"/>
          </w:tcPr>
          <w:p w14:paraId="1C359B93" w14:textId="77777777" w:rsidR="00270ED4" w:rsidRPr="00D2316B" w:rsidRDefault="00270ED4" w:rsidP="00270ED4">
            <w:pPr>
              <w:pStyle w:val="tablerow1"/>
              <w:spacing w:before="20" w:after="20"/>
              <w:jc w:val="left"/>
              <w:rPr>
                <w:sz w:val="17"/>
                <w:szCs w:val="17"/>
              </w:rPr>
            </w:pPr>
            <w:r w:rsidRPr="00D2316B">
              <w:rPr>
                <w:sz w:val="17"/>
                <w:szCs w:val="17"/>
              </w:rPr>
              <w:t>Russian Federation</w:t>
            </w:r>
          </w:p>
        </w:tc>
        <w:tc>
          <w:tcPr>
            <w:tcW w:w="1455" w:type="dxa"/>
            <w:shd w:val="clear" w:color="auto" w:fill="92D050"/>
            <w:vAlign w:val="center"/>
          </w:tcPr>
          <w:p w14:paraId="4F9E1185" w14:textId="77777777" w:rsidR="00270ED4" w:rsidRPr="00D2316B" w:rsidRDefault="00270ED4" w:rsidP="00270ED4">
            <w:pPr>
              <w:pStyle w:val="tablerow1"/>
              <w:spacing w:before="20" w:after="20"/>
              <w:rPr>
                <w:sz w:val="17"/>
                <w:szCs w:val="17"/>
              </w:rPr>
            </w:pPr>
            <w:r w:rsidRPr="00D2316B">
              <w:rPr>
                <w:sz w:val="17"/>
                <w:szCs w:val="17"/>
              </w:rPr>
              <w:t>581</w:t>
            </w:r>
          </w:p>
        </w:tc>
        <w:tc>
          <w:tcPr>
            <w:tcW w:w="1067" w:type="dxa"/>
            <w:shd w:val="clear" w:color="auto" w:fill="92D050"/>
            <w:vAlign w:val="center"/>
          </w:tcPr>
          <w:p w14:paraId="7E130137" w14:textId="77777777" w:rsidR="00270ED4" w:rsidRPr="00D2316B" w:rsidRDefault="00270ED4" w:rsidP="00270ED4">
            <w:pPr>
              <w:pStyle w:val="tablerow1"/>
              <w:spacing w:before="20" w:after="20"/>
              <w:rPr>
                <w:sz w:val="17"/>
                <w:szCs w:val="17"/>
              </w:rPr>
            </w:pPr>
            <w:r w:rsidRPr="00D2316B">
              <w:rPr>
                <w:sz w:val="17"/>
                <w:szCs w:val="17"/>
              </w:rPr>
              <w:t>2.2</w:t>
            </w:r>
          </w:p>
        </w:tc>
        <w:tc>
          <w:tcPr>
            <w:tcW w:w="1342" w:type="dxa"/>
            <w:shd w:val="clear" w:color="auto" w:fill="92D050"/>
          </w:tcPr>
          <w:p w14:paraId="3A229C62" w14:textId="77777777" w:rsidR="00270ED4" w:rsidRPr="00270ED4" w:rsidRDefault="00270ED4" w:rsidP="00270ED4">
            <w:pPr>
              <w:pStyle w:val="tablerow1"/>
              <w:spacing w:before="0" w:after="0"/>
              <w:rPr>
                <w:szCs w:val="18"/>
              </w:rPr>
            </w:pPr>
            <w:r w:rsidRPr="00270ED4">
              <w:rPr>
                <w:szCs w:val="18"/>
              </w:rPr>
              <w:t xml:space="preserve">Higher </w:t>
            </w:r>
          </w:p>
        </w:tc>
        <w:tc>
          <w:tcPr>
            <w:tcW w:w="1426" w:type="dxa"/>
            <w:tcBorders>
              <w:right w:val="nil"/>
            </w:tcBorders>
            <w:shd w:val="clear" w:color="auto" w:fill="92D050"/>
          </w:tcPr>
          <w:p w14:paraId="5CD629C0" w14:textId="77777777" w:rsidR="00270ED4" w:rsidRPr="00E60B0F" w:rsidRDefault="00270ED4" w:rsidP="00270ED4">
            <w:pPr>
              <w:pStyle w:val="tablerow1"/>
              <w:spacing w:before="0" w:after="0"/>
            </w:pPr>
            <w:r w:rsidRPr="008C4970">
              <w:rPr>
                <w:sz w:val="20"/>
              </w:rPr>
              <w:sym w:font="Wingdings 3" w:char="F0C7"/>
            </w:r>
          </w:p>
        </w:tc>
      </w:tr>
      <w:tr w:rsidR="00270ED4" w:rsidRPr="00E60B0F" w14:paraId="25F30EAC" w14:textId="77777777" w:rsidTr="00270ED4">
        <w:trPr>
          <w:jc w:val="center"/>
        </w:trPr>
        <w:tc>
          <w:tcPr>
            <w:tcW w:w="1806" w:type="dxa"/>
            <w:tcBorders>
              <w:left w:val="nil"/>
              <w:bottom w:val="single" w:sz="4" w:space="0" w:color="auto"/>
            </w:tcBorders>
            <w:shd w:val="clear" w:color="auto" w:fill="92D050"/>
            <w:vAlign w:val="center"/>
          </w:tcPr>
          <w:p w14:paraId="40DF68A7" w14:textId="77777777" w:rsidR="00270ED4" w:rsidRPr="00D2316B" w:rsidRDefault="00270ED4" w:rsidP="00270ED4">
            <w:pPr>
              <w:pStyle w:val="tablerow1"/>
              <w:spacing w:before="20" w:after="20"/>
              <w:jc w:val="left"/>
              <w:rPr>
                <w:sz w:val="17"/>
                <w:szCs w:val="17"/>
              </w:rPr>
            </w:pPr>
            <w:r w:rsidRPr="00D77ABD">
              <w:rPr>
                <w:sz w:val="17"/>
                <w:szCs w:val="17"/>
              </w:rPr>
              <w:t>Singapore</w:t>
            </w:r>
          </w:p>
        </w:tc>
        <w:tc>
          <w:tcPr>
            <w:tcW w:w="1455" w:type="dxa"/>
            <w:tcBorders>
              <w:bottom w:val="single" w:sz="4" w:space="0" w:color="auto"/>
            </w:tcBorders>
            <w:shd w:val="clear" w:color="auto" w:fill="92D050"/>
            <w:vAlign w:val="center"/>
          </w:tcPr>
          <w:p w14:paraId="55BEAF2D" w14:textId="77777777" w:rsidR="00270ED4" w:rsidRPr="00D2316B" w:rsidRDefault="00270ED4" w:rsidP="00270ED4">
            <w:pPr>
              <w:pStyle w:val="tablerow1"/>
              <w:spacing w:before="20" w:after="20"/>
              <w:rPr>
                <w:sz w:val="17"/>
                <w:szCs w:val="17"/>
              </w:rPr>
            </w:pPr>
            <w:r w:rsidRPr="00D2316B">
              <w:rPr>
                <w:sz w:val="17"/>
                <w:szCs w:val="17"/>
              </w:rPr>
              <w:t>57</w:t>
            </w:r>
            <w:r>
              <w:rPr>
                <w:sz w:val="17"/>
                <w:szCs w:val="17"/>
              </w:rPr>
              <w:t>6</w:t>
            </w:r>
          </w:p>
        </w:tc>
        <w:tc>
          <w:tcPr>
            <w:tcW w:w="1067" w:type="dxa"/>
            <w:tcBorders>
              <w:bottom w:val="single" w:sz="4" w:space="0" w:color="auto"/>
            </w:tcBorders>
            <w:shd w:val="clear" w:color="auto" w:fill="92D050"/>
            <w:vAlign w:val="center"/>
          </w:tcPr>
          <w:p w14:paraId="0F532964" w14:textId="77777777" w:rsidR="00270ED4" w:rsidRPr="00D2316B" w:rsidRDefault="00270ED4" w:rsidP="00270ED4">
            <w:pPr>
              <w:pStyle w:val="tablerow1"/>
              <w:spacing w:before="20" w:after="20"/>
              <w:rPr>
                <w:sz w:val="17"/>
                <w:szCs w:val="17"/>
              </w:rPr>
            </w:pPr>
            <w:r w:rsidRPr="00D2316B">
              <w:rPr>
                <w:sz w:val="17"/>
                <w:szCs w:val="17"/>
              </w:rPr>
              <w:t>3.</w:t>
            </w:r>
            <w:r>
              <w:rPr>
                <w:sz w:val="17"/>
                <w:szCs w:val="17"/>
              </w:rPr>
              <w:t>2</w:t>
            </w:r>
          </w:p>
        </w:tc>
        <w:tc>
          <w:tcPr>
            <w:tcW w:w="1342" w:type="dxa"/>
            <w:tcBorders>
              <w:bottom w:val="single" w:sz="4" w:space="0" w:color="auto"/>
            </w:tcBorders>
            <w:shd w:val="clear" w:color="auto" w:fill="92D050"/>
          </w:tcPr>
          <w:p w14:paraId="0467A538" w14:textId="77777777" w:rsidR="00270ED4" w:rsidRPr="008C4970" w:rsidRDefault="00270ED4" w:rsidP="00270ED4">
            <w:pPr>
              <w:pStyle w:val="tablerow1"/>
              <w:spacing w:before="0" w:after="0"/>
              <w:rPr>
                <w:sz w:val="20"/>
              </w:rPr>
            </w:pPr>
            <w:r w:rsidRPr="00270ED4">
              <w:rPr>
                <w:szCs w:val="18"/>
              </w:rPr>
              <w:t>Higher</w:t>
            </w:r>
          </w:p>
        </w:tc>
        <w:tc>
          <w:tcPr>
            <w:tcW w:w="1426" w:type="dxa"/>
            <w:tcBorders>
              <w:bottom w:val="single" w:sz="4" w:space="0" w:color="auto"/>
              <w:right w:val="nil"/>
            </w:tcBorders>
            <w:shd w:val="clear" w:color="auto" w:fill="92D050"/>
          </w:tcPr>
          <w:p w14:paraId="1739F830" w14:textId="77777777" w:rsidR="00270ED4" w:rsidRPr="00E60B0F" w:rsidRDefault="00270ED4" w:rsidP="00270ED4">
            <w:pPr>
              <w:pStyle w:val="tablerow1"/>
              <w:spacing w:before="0" w:after="0"/>
            </w:pPr>
            <w:r w:rsidRPr="008C4970">
              <w:rPr>
                <w:sz w:val="20"/>
              </w:rPr>
              <w:sym w:font="Wingdings 3" w:char="F0C7"/>
            </w:r>
          </w:p>
        </w:tc>
      </w:tr>
      <w:tr w:rsidR="00270ED4" w:rsidRPr="00E60B0F" w14:paraId="246C601C" w14:textId="77777777" w:rsidTr="00270ED4">
        <w:trPr>
          <w:jc w:val="center"/>
        </w:trPr>
        <w:tc>
          <w:tcPr>
            <w:tcW w:w="1806" w:type="dxa"/>
            <w:tcBorders>
              <w:left w:val="nil"/>
              <w:bottom w:val="nil"/>
            </w:tcBorders>
            <w:shd w:val="clear" w:color="auto" w:fill="auto"/>
            <w:vAlign w:val="center"/>
          </w:tcPr>
          <w:p w14:paraId="7886B007" w14:textId="77777777" w:rsidR="00270ED4" w:rsidRPr="00D2316B" w:rsidRDefault="00270ED4" w:rsidP="00270ED4">
            <w:pPr>
              <w:pStyle w:val="tablerow1"/>
              <w:spacing w:before="20" w:after="20"/>
              <w:jc w:val="left"/>
              <w:rPr>
                <w:sz w:val="17"/>
                <w:szCs w:val="17"/>
              </w:rPr>
            </w:pPr>
            <w:r w:rsidRPr="00D2316B">
              <w:rPr>
                <w:sz w:val="17"/>
                <w:szCs w:val="17"/>
              </w:rPr>
              <w:t>Hong Kong SAR</w:t>
            </w:r>
          </w:p>
        </w:tc>
        <w:tc>
          <w:tcPr>
            <w:tcW w:w="1455" w:type="dxa"/>
            <w:tcBorders>
              <w:bottom w:val="nil"/>
            </w:tcBorders>
            <w:shd w:val="clear" w:color="auto" w:fill="auto"/>
            <w:vAlign w:val="center"/>
          </w:tcPr>
          <w:p w14:paraId="621BEAB0" w14:textId="77777777" w:rsidR="00270ED4" w:rsidRPr="00D2316B" w:rsidRDefault="00270ED4" w:rsidP="00270ED4">
            <w:pPr>
              <w:pStyle w:val="tablerow1"/>
              <w:spacing w:before="20" w:after="20"/>
              <w:rPr>
                <w:sz w:val="17"/>
                <w:szCs w:val="17"/>
              </w:rPr>
            </w:pPr>
            <w:r w:rsidRPr="00D2316B">
              <w:rPr>
                <w:sz w:val="17"/>
                <w:szCs w:val="17"/>
              </w:rPr>
              <w:t>569</w:t>
            </w:r>
          </w:p>
        </w:tc>
        <w:tc>
          <w:tcPr>
            <w:tcW w:w="1067" w:type="dxa"/>
            <w:tcBorders>
              <w:bottom w:val="nil"/>
            </w:tcBorders>
            <w:shd w:val="clear" w:color="auto" w:fill="auto"/>
            <w:vAlign w:val="center"/>
          </w:tcPr>
          <w:p w14:paraId="64073C60" w14:textId="77777777" w:rsidR="00270ED4" w:rsidRPr="00D2316B" w:rsidRDefault="00270ED4" w:rsidP="00270ED4">
            <w:pPr>
              <w:pStyle w:val="tablerow1"/>
              <w:spacing w:before="20" w:after="20"/>
              <w:rPr>
                <w:sz w:val="17"/>
                <w:szCs w:val="17"/>
              </w:rPr>
            </w:pPr>
            <w:r w:rsidRPr="00D2316B">
              <w:rPr>
                <w:sz w:val="17"/>
                <w:szCs w:val="17"/>
              </w:rPr>
              <w:t>2.7</w:t>
            </w:r>
          </w:p>
        </w:tc>
        <w:tc>
          <w:tcPr>
            <w:tcW w:w="1342" w:type="dxa"/>
            <w:tcBorders>
              <w:bottom w:val="nil"/>
            </w:tcBorders>
          </w:tcPr>
          <w:p w14:paraId="04A411EF" w14:textId="77777777" w:rsidR="00270ED4" w:rsidRPr="00270ED4" w:rsidRDefault="00270ED4" w:rsidP="00270ED4">
            <w:pPr>
              <w:pStyle w:val="tablerow1"/>
              <w:spacing w:before="0" w:after="0"/>
              <w:rPr>
                <w:szCs w:val="18"/>
              </w:rPr>
            </w:pPr>
            <w:r w:rsidRPr="00270ED4">
              <w:rPr>
                <w:szCs w:val="18"/>
              </w:rPr>
              <w:t>Similar</w:t>
            </w:r>
          </w:p>
        </w:tc>
        <w:tc>
          <w:tcPr>
            <w:tcW w:w="1426" w:type="dxa"/>
            <w:tcBorders>
              <w:bottom w:val="nil"/>
              <w:right w:val="nil"/>
            </w:tcBorders>
          </w:tcPr>
          <w:p w14:paraId="2550B63F" w14:textId="77777777" w:rsidR="00270ED4" w:rsidRPr="00E60B0F" w:rsidRDefault="00270ED4" w:rsidP="00270ED4">
            <w:pPr>
              <w:pStyle w:val="tablerow1"/>
              <w:spacing w:before="0" w:after="0"/>
            </w:pPr>
            <w:r w:rsidRPr="008C4970">
              <w:rPr>
                <w:sz w:val="20"/>
              </w:rPr>
              <w:sym w:font="Wingdings 3" w:char="F0C7"/>
            </w:r>
          </w:p>
        </w:tc>
      </w:tr>
      <w:tr w:rsidR="00270ED4" w:rsidRPr="00E60B0F" w14:paraId="2C68B10E" w14:textId="77777777" w:rsidTr="00270ED4">
        <w:trPr>
          <w:jc w:val="center"/>
        </w:trPr>
        <w:tc>
          <w:tcPr>
            <w:tcW w:w="1806" w:type="dxa"/>
            <w:tcBorders>
              <w:top w:val="nil"/>
              <w:left w:val="nil"/>
              <w:bottom w:val="nil"/>
              <w:right w:val="single" w:sz="2" w:space="0" w:color="auto"/>
            </w:tcBorders>
            <w:shd w:val="clear" w:color="auto" w:fill="auto"/>
            <w:vAlign w:val="center"/>
          </w:tcPr>
          <w:p w14:paraId="6CAFE81D" w14:textId="77777777" w:rsidR="00270ED4" w:rsidRPr="00D2316B" w:rsidRDefault="00270ED4" w:rsidP="00270ED4">
            <w:pPr>
              <w:pStyle w:val="tablerow1"/>
              <w:jc w:val="left"/>
              <w:rPr>
                <w:b/>
                <w:sz w:val="17"/>
                <w:szCs w:val="17"/>
              </w:rPr>
            </w:pPr>
            <w:r w:rsidRPr="00D2316B">
              <w:rPr>
                <w:b/>
                <w:sz w:val="17"/>
                <w:szCs w:val="17"/>
              </w:rPr>
              <w:t>Ireland</w:t>
            </w:r>
          </w:p>
        </w:tc>
        <w:tc>
          <w:tcPr>
            <w:tcW w:w="1455" w:type="dxa"/>
            <w:tcBorders>
              <w:top w:val="nil"/>
              <w:left w:val="single" w:sz="2" w:space="0" w:color="auto"/>
              <w:bottom w:val="nil"/>
              <w:right w:val="single" w:sz="2" w:space="0" w:color="auto"/>
            </w:tcBorders>
            <w:shd w:val="clear" w:color="auto" w:fill="auto"/>
            <w:vAlign w:val="center"/>
          </w:tcPr>
          <w:p w14:paraId="3368877D" w14:textId="77777777" w:rsidR="00270ED4" w:rsidRPr="00D2316B" w:rsidRDefault="00270ED4" w:rsidP="00270ED4">
            <w:pPr>
              <w:pStyle w:val="tablerow1"/>
              <w:rPr>
                <w:b/>
                <w:sz w:val="17"/>
                <w:szCs w:val="17"/>
              </w:rPr>
            </w:pPr>
            <w:r w:rsidRPr="00D2316B">
              <w:rPr>
                <w:b/>
                <w:sz w:val="17"/>
                <w:szCs w:val="17"/>
              </w:rPr>
              <w:t>567</w:t>
            </w:r>
          </w:p>
        </w:tc>
        <w:tc>
          <w:tcPr>
            <w:tcW w:w="1067" w:type="dxa"/>
            <w:tcBorders>
              <w:top w:val="nil"/>
              <w:left w:val="single" w:sz="2" w:space="0" w:color="auto"/>
              <w:bottom w:val="nil"/>
              <w:right w:val="single" w:sz="2" w:space="0" w:color="auto"/>
            </w:tcBorders>
            <w:shd w:val="clear" w:color="auto" w:fill="auto"/>
            <w:vAlign w:val="center"/>
          </w:tcPr>
          <w:p w14:paraId="4C229010" w14:textId="77777777" w:rsidR="00270ED4" w:rsidRPr="00D2316B" w:rsidRDefault="00270ED4" w:rsidP="00270ED4">
            <w:pPr>
              <w:pStyle w:val="tablerow1"/>
              <w:rPr>
                <w:sz w:val="17"/>
                <w:szCs w:val="17"/>
              </w:rPr>
            </w:pPr>
            <w:r w:rsidRPr="00D2316B">
              <w:rPr>
                <w:sz w:val="17"/>
                <w:szCs w:val="17"/>
              </w:rPr>
              <w:t>2.5</w:t>
            </w:r>
          </w:p>
        </w:tc>
        <w:tc>
          <w:tcPr>
            <w:tcW w:w="1342" w:type="dxa"/>
            <w:tcBorders>
              <w:top w:val="nil"/>
              <w:left w:val="single" w:sz="2" w:space="0" w:color="auto"/>
              <w:bottom w:val="nil"/>
              <w:right w:val="single" w:sz="2" w:space="0" w:color="auto"/>
            </w:tcBorders>
            <w:vAlign w:val="center"/>
          </w:tcPr>
          <w:p w14:paraId="64FDA4DB" w14:textId="77777777" w:rsidR="00270ED4" w:rsidRPr="008C4970" w:rsidRDefault="00270ED4" w:rsidP="00270ED4">
            <w:pPr>
              <w:pStyle w:val="tablerow1"/>
              <w:rPr>
                <w:sz w:val="20"/>
              </w:rPr>
            </w:pPr>
          </w:p>
        </w:tc>
        <w:tc>
          <w:tcPr>
            <w:tcW w:w="1426" w:type="dxa"/>
            <w:tcBorders>
              <w:top w:val="nil"/>
              <w:left w:val="single" w:sz="2" w:space="0" w:color="auto"/>
              <w:bottom w:val="nil"/>
              <w:right w:val="nil"/>
            </w:tcBorders>
            <w:vAlign w:val="center"/>
          </w:tcPr>
          <w:p w14:paraId="71AA46BD" w14:textId="77777777" w:rsidR="00270ED4" w:rsidRPr="00E60B0F" w:rsidRDefault="00270ED4" w:rsidP="00270ED4">
            <w:pPr>
              <w:pStyle w:val="tablerow1"/>
            </w:pPr>
            <w:r w:rsidRPr="008C4970">
              <w:rPr>
                <w:sz w:val="20"/>
              </w:rPr>
              <w:sym w:font="Wingdings 3" w:char="F0C7"/>
            </w:r>
          </w:p>
        </w:tc>
      </w:tr>
      <w:tr w:rsidR="00270ED4" w:rsidRPr="00E60B0F" w14:paraId="7B780D3C" w14:textId="77777777" w:rsidTr="00270ED4">
        <w:trPr>
          <w:jc w:val="center"/>
        </w:trPr>
        <w:tc>
          <w:tcPr>
            <w:tcW w:w="1806" w:type="dxa"/>
            <w:tcBorders>
              <w:top w:val="nil"/>
              <w:left w:val="nil"/>
              <w:bottom w:val="nil"/>
            </w:tcBorders>
            <w:shd w:val="clear" w:color="auto" w:fill="auto"/>
            <w:vAlign w:val="center"/>
          </w:tcPr>
          <w:p w14:paraId="475D2B3F" w14:textId="77777777" w:rsidR="00270ED4" w:rsidRPr="00D2316B" w:rsidRDefault="00270ED4" w:rsidP="00270ED4">
            <w:pPr>
              <w:pStyle w:val="tablerow1"/>
              <w:spacing w:before="20" w:after="20"/>
              <w:jc w:val="left"/>
              <w:rPr>
                <w:sz w:val="17"/>
                <w:szCs w:val="17"/>
              </w:rPr>
            </w:pPr>
            <w:r w:rsidRPr="00D2316B">
              <w:rPr>
                <w:sz w:val="17"/>
                <w:szCs w:val="17"/>
              </w:rPr>
              <w:t>Finland</w:t>
            </w:r>
          </w:p>
        </w:tc>
        <w:tc>
          <w:tcPr>
            <w:tcW w:w="1455" w:type="dxa"/>
            <w:tcBorders>
              <w:top w:val="nil"/>
              <w:bottom w:val="nil"/>
            </w:tcBorders>
            <w:shd w:val="clear" w:color="auto" w:fill="auto"/>
            <w:vAlign w:val="center"/>
          </w:tcPr>
          <w:p w14:paraId="5C50DC76" w14:textId="77777777" w:rsidR="00270ED4" w:rsidRPr="00D2316B" w:rsidRDefault="00270ED4" w:rsidP="00270ED4">
            <w:pPr>
              <w:pStyle w:val="tablerow1"/>
              <w:spacing w:before="20" w:after="20"/>
              <w:rPr>
                <w:sz w:val="17"/>
                <w:szCs w:val="17"/>
              </w:rPr>
            </w:pPr>
            <w:r w:rsidRPr="00D2316B">
              <w:rPr>
                <w:sz w:val="17"/>
                <w:szCs w:val="17"/>
              </w:rPr>
              <w:t>566</w:t>
            </w:r>
          </w:p>
        </w:tc>
        <w:tc>
          <w:tcPr>
            <w:tcW w:w="1067" w:type="dxa"/>
            <w:tcBorders>
              <w:top w:val="nil"/>
              <w:bottom w:val="nil"/>
            </w:tcBorders>
            <w:shd w:val="clear" w:color="auto" w:fill="auto"/>
            <w:vAlign w:val="center"/>
          </w:tcPr>
          <w:p w14:paraId="25268D23" w14:textId="77777777" w:rsidR="00270ED4" w:rsidRPr="00D2316B" w:rsidRDefault="00270ED4" w:rsidP="00270ED4">
            <w:pPr>
              <w:pStyle w:val="tablerow1"/>
              <w:spacing w:before="20" w:after="20"/>
              <w:rPr>
                <w:sz w:val="17"/>
                <w:szCs w:val="17"/>
              </w:rPr>
            </w:pPr>
            <w:r w:rsidRPr="00D2316B">
              <w:rPr>
                <w:sz w:val="17"/>
                <w:szCs w:val="17"/>
              </w:rPr>
              <w:t>1.8</w:t>
            </w:r>
          </w:p>
        </w:tc>
        <w:tc>
          <w:tcPr>
            <w:tcW w:w="1342" w:type="dxa"/>
            <w:tcBorders>
              <w:top w:val="nil"/>
              <w:bottom w:val="nil"/>
            </w:tcBorders>
          </w:tcPr>
          <w:p w14:paraId="53012B44" w14:textId="77777777" w:rsidR="00270ED4" w:rsidRPr="008C4970" w:rsidRDefault="00270ED4" w:rsidP="00270ED4">
            <w:pPr>
              <w:pStyle w:val="tablerow1"/>
              <w:spacing w:before="0" w:after="0"/>
              <w:rPr>
                <w:sz w:val="20"/>
              </w:rPr>
            </w:pPr>
            <w:r w:rsidRPr="0040450E">
              <w:rPr>
                <w:szCs w:val="18"/>
              </w:rPr>
              <w:t>Similar</w:t>
            </w:r>
          </w:p>
        </w:tc>
        <w:tc>
          <w:tcPr>
            <w:tcW w:w="1426" w:type="dxa"/>
            <w:tcBorders>
              <w:top w:val="nil"/>
              <w:bottom w:val="nil"/>
              <w:right w:val="nil"/>
            </w:tcBorders>
          </w:tcPr>
          <w:p w14:paraId="6EE5A857" w14:textId="77777777" w:rsidR="00270ED4" w:rsidRPr="00E60B0F" w:rsidRDefault="00270ED4" w:rsidP="00270ED4">
            <w:pPr>
              <w:pStyle w:val="tablerow1"/>
              <w:spacing w:before="0" w:after="0"/>
            </w:pPr>
            <w:r w:rsidRPr="008C4970">
              <w:rPr>
                <w:sz w:val="20"/>
              </w:rPr>
              <w:sym w:font="Wingdings 3" w:char="F0C7"/>
            </w:r>
          </w:p>
        </w:tc>
      </w:tr>
      <w:tr w:rsidR="00270ED4" w:rsidRPr="00E60B0F" w14:paraId="1D987402" w14:textId="77777777" w:rsidTr="00270ED4">
        <w:trPr>
          <w:jc w:val="center"/>
        </w:trPr>
        <w:tc>
          <w:tcPr>
            <w:tcW w:w="1806" w:type="dxa"/>
            <w:tcBorders>
              <w:top w:val="nil"/>
              <w:left w:val="nil"/>
              <w:bottom w:val="nil"/>
            </w:tcBorders>
            <w:shd w:val="clear" w:color="auto" w:fill="auto"/>
            <w:vAlign w:val="center"/>
          </w:tcPr>
          <w:p w14:paraId="47A0ABE9" w14:textId="77777777" w:rsidR="00270ED4" w:rsidRPr="00D2316B" w:rsidRDefault="00270ED4" w:rsidP="00270ED4">
            <w:pPr>
              <w:pStyle w:val="tablerow1"/>
              <w:spacing w:before="20" w:after="20"/>
              <w:jc w:val="left"/>
              <w:rPr>
                <w:sz w:val="17"/>
                <w:szCs w:val="17"/>
              </w:rPr>
            </w:pPr>
            <w:r w:rsidRPr="00D2316B">
              <w:rPr>
                <w:sz w:val="17"/>
                <w:szCs w:val="17"/>
              </w:rPr>
              <w:t>Poland</w:t>
            </w:r>
          </w:p>
        </w:tc>
        <w:tc>
          <w:tcPr>
            <w:tcW w:w="1455" w:type="dxa"/>
            <w:tcBorders>
              <w:top w:val="nil"/>
              <w:bottom w:val="nil"/>
            </w:tcBorders>
            <w:shd w:val="clear" w:color="auto" w:fill="auto"/>
            <w:vAlign w:val="center"/>
          </w:tcPr>
          <w:p w14:paraId="79EFDFE2" w14:textId="77777777" w:rsidR="00270ED4" w:rsidRPr="00D2316B" w:rsidRDefault="00270ED4" w:rsidP="00270ED4">
            <w:pPr>
              <w:pStyle w:val="tablerow1"/>
              <w:spacing w:before="20" w:after="20"/>
              <w:rPr>
                <w:sz w:val="17"/>
                <w:szCs w:val="17"/>
              </w:rPr>
            </w:pPr>
            <w:r w:rsidRPr="00D2316B">
              <w:rPr>
                <w:sz w:val="17"/>
                <w:szCs w:val="17"/>
              </w:rPr>
              <w:t>565</w:t>
            </w:r>
          </w:p>
        </w:tc>
        <w:tc>
          <w:tcPr>
            <w:tcW w:w="1067" w:type="dxa"/>
            <w:tcBorders>
              <w:top w:val="nil"/>
              <w:bottom w:val="nil"/>
            </w:tcBorders>
            <w:shd w:val="clear" w:color="auto" w:fill="auto"/>
            <w:vAlign w:val="center"/>
          </w:tcPr>
          <w:p w14:paraId="026CE3EE" w14:textId="77777777" w:rsidR="00270ED4" w:rsidRPr="00D2316B" w:rsidRDefault="00270ED4" w:rsidP="00270ED4">
            <w:pPr>
              <w:pStyle w:val="tablerow1"/>
              <w:spacing w:before="20" w:after="20"/>
              <w:rPr>
                <w:sz w:val="17"/>
                <w:szCs w:val="17"/>
              </w:rPr>
            </w:pPr>
            <w:r w:rsidRPr="00D2316B">
              <w:rPr>
                <w:sz w:val="17"/>
                <w:szCs w:val="17"/>
              </w:rPr>
              <w:t>2.1</w:t>
            </w:r>
          </w:p>
        </w:tc>
        <w:tc>
          <w:tcPr>
            <w:tcW w:w="1342" w:type="dxa"/>
            <w:tcBorders>
              <w:top w:val="nil"/>
              <w:bottom w:val="nil"/>
            </w:tcBorders>
          </w:tcPr>
          <w:p w14:paraId="2670DAA2" w14:textId="77777777" w:rsidR="00270ED4" w:rsidRPr="008C4970" w:rsidRDefault="00270ED4" w:rsidP="00270ED4">
            <w:pPr>
              <w:pStyle w:val="tablerow1"/>
              <w:spacing w:before="0" w:after="0"/>
              <w:rPr>
                <w:sz w:val="20"/>
              </w:rPr>
            </w:pPr>
            <w:r w:rsidRPr="0040450E">
              <w:rPr>
                <w:szCs w:val="18"/>
              </w:rPr>
              <w:t>Similar</w:t>
            </w:r>
          </w:p>
        </w:tc>
        <w:tc>
          <w:tcPr>
            <w:tcW w:w="1426" w:type="dxa"/>
            <w:tcBorders>
              <w:top w:val="nil"/>
              <w:bottom w:val="nil"/>
              <w:right w:val="nil"/>
            </w:tcBorders>
          </w:tcPr>
          <w:p w14:paraId="52804308" w14:textId="77777777" w:rsidR="00270ED4" w:rsidRPr="00E60B0F" w:rsidRDefault="00270ED4" w:rsidP="00270ED4">
            <w:pPr>
              <w:pStyle w:val="tablerow1"/>
              <w:spacing w:before="0" w:after="0"/>
            </w:pPr>
            <w:r w:rsidRPr="008C4970">
              <w:rPr>
                <w:sz w:val="20"/>
              </w:rPr>
              <w:sym w:font="Wingdings 3" w:char="F0C7"/>
            </w:r>
          </w:p>
        </w:tc>
      </w:tr>
      <w:tr w:rsidR="00270ED4" w:rsidRPr="00E60B0F" w14:paraId="423037A3" w14:textId="77777777" w:rsidTr="00270ED4">
        <w:trPr>
          <w:jc w:val="center"/>
        </w:trPr>
        <w:tc>
          <w:tcPr>
            <w:tcW w:w="1806" w:type="dxa"/>
            <w:tcBorders>
              <w:top w:val="nil"/>
              <w:left w:val="nil"/>
              <w:bottom w:val="nil"/>
            </w:tcBorders>
            <w:shd w:val="clear" w:color="auto" w:fill="auto"/>
            <w:vAlign w:val="center"/>
          </w:tcPr>
          <w:p w14:paraId="7CA72BFE" w14:textId="77777777" w:rsidR="00270ED4" w:rsidRPr="00D2316B" w:rsidRDefault="00270ED4" w:rsidP="00270ED4">
            <w:pPr>
              <w:pStyle w:val="tablerow1"/>
              <w:spacing w:before="20" w:after="20"/>
              <w:jc w:val="left"/>
              <w:rPr>
                <w:sz w:val="17"/>
                <w:szCs w:val="17"/>
              </w:rPr>
            </w:pPr>
            <w:r w:rsidRPr="00D2316B">
              <w:rPr>
                <w:sz w:val="17"/>
                <w:szCs w:val="17"/>
              </w:rPr>
              <w:t>Northern Ireland</w:t>
            </w:r>
          </w:p>
        </w:tc>
        <w:tc>
          <w:tcPr>
            <w:tcW w:w="1455" w:type="dxa"/>
            <w:tcBorders>
              <w:top w:val="nil"/>
              <w:bottom w:val="nil"/>
            </w:tcBorders>
            <w:shd w:val="clear" w:color="auto" w:fill="auto"/>
            <w:vAlign w:val="center"/>
          </w:tcPr>
          <w:p w14:paraId="344FA31D" w14:textId="77777777" w:rsidR="00270ED4" w:rsidRPr="00D2316B" w:rsidRDefault="00270ED4" w:rsidP="00270ED4">
            <w:pPr>
              <w:pStyle w:val="tablerow1"/>
              <w:spacing w:before="20" w:after="20"/>
              <w:rPr>
                <w:sz w:val="17"/>
                <w:szCs w:val="17"/>
              </w:rPr>
            </w:pPr>
            <w:r w:rsidRPr="00D2316B">
              <w:rPr>
                <w:sz w:val="17"/>
                <w:szCs w:val="17"/>
              </w:rPr>
              <w:t>565</w:t>
            </w:r>
          </w:p>
        </w:tc>
        <w:tc>
          <w:tcPr>
            <w:tcW w:w="1067" w:type="dxa"/>
            <w:tcBorders>
              <w:top w:val="nil"/>
              <w:bottom w:val="nil"/>
            </w:tcBorders>
            <w:shd w:val="clear" w:color="auto" w:fill="auto"/>
            <w:vAlign w:val="center"/>
          </w:tcPr>
          <w:p w14:paraId="6E31627A" w14:textId="77777777" w:rsidR="00270ED4" w:rsidRPr="00D2316B" w:rsidRDefault="00270ED4" w:rsidP="00270ED4">
            <w:pPr>
              <w:pStyle w:val="tablerow1"/>
              <w:spacing w:before="20" w:after="20"/>
              <w:rPr>
                <w:sz w:val="17"/>
                <w:szCs w:val="17"/>
              </w:rPr>
            </w:pPr>
            <w:r w:rsidRPr="00D2316B">
              <w:rPr>
                <w:sz w:val="17"/>
                <w:szCs w:val="17"/>
              </w:rPr>
              <w:t>2.2</w:t>
            </w:r>
          </w:p>
        </w:tc>
        <w:tc>
          <w:tcPr>
            <w:tcW w:w="1342" w:type="dxa"/>
            <w:tcBorders>
              <w:top w:val="nil"/>
              <w:bottom w:val="nil"/>
            </w:tcBorders>
          </w:tcPr>
          <w:p w14:paraId="779BE571" w14:textId="77777777" w:rsidR="00270ED4" w:rsidRPr="008C4970" w:rsidRDefault="00270ED4" w:rsidP="00270ED4">
            <w:pPr>
              <w:pStyle w:val="tablerow1"/>
              <w:spacing w:before="0" w:after="0"/>
              <w:rPr>
                <w:sz w:val="20"/>
              </w:rPr>
            </w:pPr>
            <w:r w:rsidRPr="0040450E">
              <w:rPr>
                <w:szCs w:val="18"/>
              </w:rPr>
              <w:t>Similar</w:t>
            </w:r>
          </w:p>
        </w:tc>
        <w:tc>
          <w:tcPr>
            <w:tcW w:w="1426" w:type="dxa"/>
            <w:tcBorders>
              <w:top w:val="nil"/>
              <w:bottom w:val="nil"/>
              <w:right w:val="nil"/>
            </w:tcBorders>
          </w:tcPr>
          <w:p w14:paraId="32BE1B75" w14:textId="77777777" w:rsidR="00270ED4" w:rsidRPr="00E60B0F" w:rsidRDefault="00270ED4" w:rsidP="00270ED4">
            <w:pPr>
              <w:pStyle w:val="tablerow1"/>
              <w:spacing w:before="0" w:after="0"/>
            </w:pPr>
            <w:r w:rsidRPr="008C4970">
              <w:rPr>
                <w:sz w:val="20"/>
              </w:rPr>
              <w:sym w:font="Wingdings 3" w:char="F0C7"/>
            </w:r>
          </w:p>
        </w:tc>
      </w:tr>
      <w:tr w:rsidR="00270ED4" w:rsidRPr="00E60B0F" w14:paraId="702666D0" w14:textId="77777777" w:rsidTr="00270ED4">
        <w:trPr>
          <w:jc w:val="center"/>
        </w:trPr>
        <w:tc>
          <w:tcPr>
            <w:tcW w:w="1806" w:type="dxa"/>
            <w:tcBorders>
              <w:top w:val="nil"/>
              <w:left w:val="nil"/>
            </w:tcBorders>
            <w:shd w:val="clear" w:color="auto" w:fill="FFFF00"/>
            <w:vAlign w:val="center"/>
          </w:tcPr>
          <w:p w14:paraId="4ED343C7" w14:textId="77777777" w:rsidR="00270ED4" w:rsidRPr="00D2316B" w:rsidRDefault="00270ED4" w:rsidP="00270ED4">
            <w:pPr>
              <w:pStyle w:val="tablerow1"/>
              <w:spacing w:before="20" w:after="20"/>
              <w:jc w:val="left"/>
              <w:rPr>
                <w:sz w:val="17"/>
                <w:szCs w:val="17"/>
              </w:rPr>
            </w:pPr>
            <w:r w:rsidRPr="00D2316B">
              <w:rPr>
                <w:sz w:val="17"/>
                <w:szCs w:val="17"/>
              </w:rPr>
              <w:t>Norway (Grade 5)</w:t>
            </w:r>
          </w:p>
        </w:tc>
        <w:tc>
          <w:tcPr>
            <w:tcW w:w="1455" w:type="dxa"/>
            <w:tcBorders>
              <w:top w:val="nil"/>
            </w:tcBorders>
            <w:shd w:val="clear" w:color="auto" w:fill="FFFF00"/>
            <w:vAlign w:val="center"/>
          </w:tcPr>
          <w:p w14:paraId="19DC01C9" w14:textId="77777777" w:rsidR="00270ED4" w:rsidRPr="00D2316B" w:rsidRDefault="00270ED4" w:rsidP="00270ED4">
            <w:pPr>
              <w:pStyle w:val="tablerow1"/>
              <w:spacing w:before="20" w:after="20"/>
              <w:rPr>
                <w:sz w:val="17"/>
                <w:szCs w:val="17"/>
              </w:rPr>
            </w:pPr>
            <w:r w:rsidRPr="00D2316B">
              <w:rPr>
                <w:sz w:val="17"/>
                <w:szCs w:val="17"/>
              </w:rPr>
              <w:t>559</w:t>
            </w:r>
          </w:p>
        </w:tc>
        <w:tc>
          <w:tcPr>
            <w:tcW w:w="1067" w:type="dxa"/>
            <w:tcBorders>
              <w:top w:val="nil"/>
            </w:tcBorders>
            <w:shd w:val="clear" w:color="auto" w:fill="FFFF00"/>
            <w:vAlign w:val="center"/>
          </w:tcPr>
          <w:p w14:paraId="283D435A" w14:textId="77777777" w:rsidR="00270ED4" w:rsidRPr="00D2316B" w:rsidRDefault="00270ED4" w:rsidP="00270ED4">
            <w:pPr>
              <w:pStyle w:val="tablerow1"/>
              <w:spacing w:before="20" w:after="20"/>
              <w:rPr>
                <w:sz w:val="17"/>
                <w:szCs w:val="17"/>
              </w:rPr>
            </w:pPr>
            <w:r w:rsidRPr="00D2316B">
              <w:rPr>
                <w:sz w:val="17"/>
                <w:szCs w:val="17"/>
              </w:rPr>
              <w:t>2.3</w:t>
            </w:r>
          </w:p>
        </w:tc>
        <w:tc>
          <w:tcPr>
            <w:tcW w:w="1342" w:type="dxa"/>
            <w:tcBorders>
              <w:top w:val="nil"/>
            </w:tcBorders>
            <w:shd w:val="clear" w:color="auto" w:fill="FFFF00"/>
          </w:tcPr>
          <w:p w14:paraId="514DAA89" w14:textId="77777777" w:rsidR="00270ED4" w:rsidRPr="00270ED4" w:rsidRDefault="00270ED4" w:rsidP="00270ED4">
            <w:pPr>
              <w:pStyle w:val="tablerow1"/>
              <w:spacing w:before="0" w:after="0"/>
              <w:rPr>
                <w:szCs w:val="18"/>
              </w:rPr>
            </w:pPr>
            <w:r>
              <w:rPr>
                <w:szCs w:val="18"/>
              </w:rPr>
              <w:t>Lower</w:t>
            </w:r>
          </w:p>
        </w:tc>
        <w:tc>
          <w:tcPr>
            <w:tcW w:w="1426" w:type="dxa"/>
            <w:tcBorders>
              <w:top w:val="nil"/>
              <w:right w:val="nil"/>
            </w:tcBorders>
            <w:shd w:val="clear" w:color="auto" w:fill="FFFF00"/>
          </w:tcPr>
          <w:p w14:paraId="2B94379E" w14:textId="77777777" w:rsidR="00270ED4" w:rsidRPr="00E60B0F" w:rsidRDefault="00270ED4" w:rsidP="00270ED4">
            <w:pPr>
              <w:pStyle w:val="tablerow1"/>
              <w:spacing w:before="0" w:after="0"/>
            </w:pPr>
            <w:r w:rsidRPr="008C4970">
              <w:rPr>
                <w:sz w:val="20"/>
              </w:rPr>
              <w:sym w:font="Wingdings 3" w:char="F0C7"/>
            </w:r>
          </w:p>
        </w:tc>
      </w:tr>
      <w:tr w:rsidR="00270ED4" w:rsidRPr="00E60B0F" w14:paraId="376D97AC" w14:textId="77777777" w:rsidTr="00270ED4">
        <w:trPr>
          <w:jc w:val="center"/>
        </w:trPr>
        <w:tc>
          <w:tcPr>
            <w:tcW w:w="1806" w:type="dxa"/>
            <w:tcBorders>
              <w:left w:val="nil"/>
            </w:tcBorders>
            <w:shd w:val="clear" w:color="auto" w:fill="FFFF00"/>
            <w:vAlign w:val="center"/>
          </w:tcPr>
          <w:p w14:paraId="0C431F2B" w14:textId="77777777" w:rsidR="00270ED4" w:rsidRPr="00D2316B" w:rsidRDefault="00270ED4" w:rsidP="00270ED4">
            <w:pPr>
              <w:pStyle w:val="tablerow1"/>
              <w:spacing w:before="20" w:after="20"/>
              <w:jc w:val="left"/>
              <w:rPr>
                <w:sz w:val="17"/>
                <w:szCs w:val="17"/>
              </w:rPr>
            </w:pPr>
            <w:r w:rsidRPr="00D2316B">
              <w:rPr>
                <w:sz w:val="17"/>
                <w:szCs w:val="17"/>
              </w:rPr>
              <w:t>Chinese Taipei</w:t>
            </w:r>
          </w:p>
        </w:tc>
        <w:tc>
          <w:tcPr>
            <w:tcW w:w="1455" w:type="dxa"/>
            <w:shd w:val="clear" w:color="auto" w:fill="FFFF00"/>
            <w:vAlign w:val="center"/>
          </w:tcPr>
          <w:p w14:paraId="060F73CA" w14:textId="77777777" w:rsidR="00270ED4" w:rsidRPr="00D2316B" w:rsidRDefault="00270ED4" w:rsidP="00270ED4">
            <w:pPr>
              <w:pStyle w:val="tablerow1"/>
              <w:spacing w:before="20" w:after="20"/>
              <w:rPr>
                <w:sz w:val="17"/>
                <w:szCs w:val="17"/>
              </w:rPr>
            </w:pPr>
            <w:r w:rsidRPr="00D2316B">
              <w:rPr>
                <w:sz w:val="17"/>
                <w:szCs w:val="17"/>
              </w:rPr>
              <w:t>559</w:t>
            </w:r>
          </w:p>
        </w:tc>
        <w:tc>
          <w:tcPr>
            <w:tcW w:w="1067" w:type="dxa"/>
            <w:shd w:val="clear" w:color="auto" w:fill="FFFF00"/>
            <w:vAlign w:val="center"/>
          </w:tcPr>
          <w:p w14:paraId="19D9C495" w14:textId="77777777" w:rsidR="00270ED4" w:rsidRPr="00D2316B" w:rsidRDefault="00270ED4" w:rsidP="00270ED4">
            <w:pPr>
              <w:pStyle w:val="tablerow1"/>
              <w:spacing w:before="20" w:after="20"/>
              <w:rPr>
                <w:sz w:val="17"/>
                <w:szCs w:val="17"/>
              </w:rPr>
            </w:pPr>
            <w:r w:rsidRPr="00D2316B">
              <w:rPr>
                <w:sz w:val="17"/>
                <w:szCs w:val="17"/>
              </w:rPr>
              <w:t>2.0</w:t>
            </w:r>
          </w:p>
        </w:tc>
        <w:tc>
          <w:tcPr>
            <w:tcW w:w="1342" w:type="dxa"/>
            <w:shd w:val="clear" w:color="auto" w:fill="FFFF00"/>
          </w:tcPr>
          <w:p w14:paraId="52574472"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78E9ABB8" w14:textId="77777777" w:rsidR="00270ED4" w:rsidRPr="00E60B0F" w:rsidRDefault="00270ED4" w:rsidP="00270ED4">
            <w:pPr>
              <w:pStyle w:val="tablerow1"/>
              <w:spacing w:before="0" w:after="0"/>
            </w:pPr>
            <w:r w:rsidRPr="008C4970">
              <w:rPr>
                <w:sz w:val="20"/>
              </w:rPr>
              <w:sym w:font="Wingdings 3" w:char="F0C7"/>
            </w:r>
          </w:p>
        </w:tc>
      </w:tr>
      <w:tr w:rsidR="00270ED4" w:rsidRPr="00E60B0F" w14:paraId="10BE3464" w14:textId="77777777" w:rsidTr="00270ED4">
        <w:trPr>
          <w:jc w:val="center"/>
        </w:trPr>
        <w:tc>
          <w:tcPr>
            <w:tcW w:w="1806" w:type="dxa"/>
            <w:tcBorders>
              <w:left w:val="nil"/>
            </w:tcBorders>
            <w:shd w:val="clear" w:color="auto" w:fill="FFFF00"/>
            <w:vAlign w:val="center"/>
          </w:tcPr>
          <w:p w14:paraId="026075A2" w14:textId="77777777" w:rsidR="00270ED4" w:rsidRPr="00D2316B" w:rsidRDefault="00270ED4" w:rsidP="00270ED4">
            <w:pPr>
              <w:pStyle w:val="tablerow1"/>
              <w:spacing w:before="20" w:after="20"/>
              <w:jc w:val="left"/>
              <w:rPr>
                <w:sz w:val="17"/>
                <w:szCs w:val="17"/>
              </w:rPr>
            </w:pPr>
            <w:r w:rsidRPr="00D2316B">
              <w:rPr>
                <w:sz w:val="17"/>
                <w:szCs w:val="17"/>
              </w:rPr>
              <w:t>England</w:t>
            </w:r>
          </w:p>
        </w:tc>
        <w:tc>
          <w:tcPr>
            <w:tcW w:w="1455" w:type="dxa"/>
            <w:shd w:val="clear" w:color="auto" w:fill="FFFF00"/>
            <w:vAlign w:val="center"/>
          </w:tcPr>
          <w:p w14:paraId="498D7AA7" w14:textId="77777777" w:rsidR="00270ED4" w:rsidRPr="00D2316B" w:rsidRDefault="00270ED4" w:rsidP="00270ED4">
            <w:pPr>
              <w:pStyle w:val="tablerow1"/>
              <w:spacing w:before="20" w:after="20"/>
              <w:rPr>
                <w:sz w:val="17"/>
                <w:szCs w:val="17"/>
              </w:rPr>
            </w:pPr>
            <w:r w:rsidRPr="00D2316B">
              <w:rPr>
                <w:sz w:val="17"/>
                <w:szCs w:val="17"/>
              </w:rPr>
              <w:t>559</w:t>
            </w:r>
          </w:p>
        </w:tc>
        <w:tc>
          <w:tcPr>
            <w:tcW w:w="1067" w:type="dxa"/>
            <w:shd w:val="clear" w:color="auto" w:fill="FFFF00"/>
            <w:vAlign w:val="center"/>
          </w:tcPr>
          <w:p w14:paraId="53A7385A" w14:textId="77777777" w:rsidR="00270ED4" w:rsidRPr="00D2316B" w:rsidRDefault="00270ED4" w:rsidP="00270ED4">
            <w:pPr>
              <w:pStyle w:val="tablerow1"/>
              <w:spacing w:before="20" w:after="20"/>
              <w:rPr>
                <w:sz w:val="17"/>
                <w:szCs w:val="17"/>
              </w:rPr>
            </w:pPr>
            <w:r w:rsidRPr="00D2316B">
              <w:rPr>
                <w:sz w:val="17"/>
                <w:szCs w:val="17"/>
              </w:rPr>
              <w:t>1.9</w:t>
            </w:r>
          </w:p>
        </w:tc>
        <w:tc>
          <w:tcPr>
            <w:tcW w:w="1342" w:type="dxa"/>
            <w:shd w:val="clear" w:color="auto" w:fill="FFFF00"/>
          </w:tcPr>
          <w:p w14:paraId="5129C3D0"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4A49EAB6" w14:textId="77777777" w:rsidR="00270ED4" w:rsidRPr="00E60B0F" w:rsidRDefault="00270ED4" w:rsidP="00270ED4">
            <w:pPr>
              <w:pStyle w:val="tablerow1"/>
              <w:spacing w:before="0" w:after="0"/>
            </w:pPr>
            <w:r w:rsidRPr="008C4970">
              <w:rPr>
                <w:sz w:val="20"/>
              </w:rPr>
              <w:sym w:font="Wingdings 3" w:char="F0C7"/>
            </w:r>
          </w:p>
        </w:tc>
      </w:tr>
      <w:tr w:rsidR="00270ED4" w:rsidRPr="00E60B0F" w14:paraId="61C7C942" w14:textId="77777777" w:rsidTr="00270ED4">
        <w:trPr>
          <w:jc w:val="center"/>
        </w:trPr>
        <w:tc>
          <w:tcPr>
            <w:tcW w:w="1806" w:type="dxa"/>
            <w:tcBorders>
              <w:left w:val="nil"/>
            </w:tcBorders>
            <w:shd w:val="clear" w:color="auto" w:fill="FFFF00"/>
            <w:vAlign w:val="center"/>
          </w:tcPr>
          <w:p w14:paraId="6BECA5DC" w14:textId="77777777" w:rsidR="00270ED4" w:rsidRPr="00D2316B" w:rsidRDefault="00270ED4" w:rsidP="00270ED4">
            <w:pPr>
              <w:pStyle w:val="tablerow1"/>
              <w:spacing w:before="20" w:after="20"/>
              <w:jc w:val="left"/>
              <w:rPr>
                <w:sz w:val="17"/>
                <w:szCs w:val="17"/>
              </w:rPr>
            </w:pPr>
            <w:r w:rsidRPr="00D2316B">
              <w:rPr>
                <w:sz w:val="17"/>
                <w:szCs w:val="17"/>
              </w:rPr>
              <w:t>Latvia</w:t>
            </w:r>
          </w:p>
        </w:tc>
        <w:tc>
          <w:tcPr>
            <w:tcW w:w="1455" w:type="dxa"/>
            <w:shd w:val="clear" w:color="auto" w:fill="FFFF00"/>
            <w:vAlign w:val="center"/>
          </w:tcPr>
          <w:p w14:paraId="70A3D856" w14:textId="77777777" w:rsidR="00270ED4" w:rsidRPr="00D2316B" w:rsidRDefault="00270ED4" w:rsidP="00270ED4">
            <w:pPr>
              <w:pStyle w:val="tablerow1"/>
              <w:spacing w:before="20" w:after="20"/>
              <w:rPr>
                <w:sz w:val="17"/>
                <w:szCs w:val="17"/>
              </w:rPr>
            </w:pPr>
            <w:r w:rsidRPr="00D2316B">
              <w:rPr>
                <w:sz w:val="17"/>
                <w:szCs w:val="17"/>
              </w:rPr>
              <w:t>558</w:t>
            </w:r>
          </w:p>
        </w:tc>
        <w:tc>
          <w:tcPr>
            <w:tcW w:w="1067" w:type="dxa"/>
            <w:shd w:val="clear" w:color="auto" w:fill="FFFF00"/>
            <w:vAlign w:val="center"/>
          </w:tcPr>
          <w:p w14:paraId="58AF5F57" w14:textId="77777777" w:rsidR="00270ED4" w:rsidRPr="00D2316B" w:rsidRDefault="00270ED4" w:rsidP="00270ED4">
            <w:pPr>
              <w:pStyle w:val="tablerow1"/>
              <w:spacing w:before="20" w:after="20"/>
              <w:rPr>
                <w:sz w:val="17"/>
                <w:szCs w:val="17"/>
              </w:rPr>
            </w:pPr>
            <w:r w:rsidRPr="00D2316B">
              <w:rPr>
                <w:sz w:val="17"/>
                <w:szCs w:val="17"/>
              </w:rPr>
              <w:t>1.7</w:t>
            </w:r>
          </w:p>
        </w:tc>
        <w:tc>
          <w:tcPr>
            <w:tcW w:w="1342" w:type="dxa"/>
            <w:shd w:val="clear" w:color="auto" w:fill="FFFF00"/>
          </w:tcPr>
          <w:p w14:paraId="5AE96F6F"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4864E591" w14:textId="77777777" w:rsidR="00270ED4" w:rsidRPr="00E60B0F" w:rsidRDefault="00270ED4" w:rsidP="00270ED4">
            <w:pPr>
              <w:pStyle w:val="tablerow1"/>
              <w:spacing w:before="0" w:after="0"/>
            </w:pPr>
            <w:r w:rsidRPr="008C4970">
              <w:rPr>
                <w:sz w:val="20"/>
              </w:rPr>
              <w:sym w:font="Wingdings 3" w:char="F0C7"/>
            </w:r>
          </w:p>
        </w:tc>
      </w:tr>
      <w:tr w:rsidR="00270ED4" w:rsidRPr="00E60B0F" w14:paraId="6074F9CE" w14:textId="77777777" w:rsidTr="00270ED4">
        <w:trPr>
          <w:jc w:val="center"/>
        </w:trPr>
        <w:tc>
          <w:tcPr>
            <w:tcW w:w="1806" w:type="dxa"/>
            <w:tcBorders>
              <w:left w:val="nil"/>
            </w:tcBorders>
            <w:shd w:val="clear" w:color="auto" w:fill="FFFF00"/>
            <w:vAlign w:val="center"/>
          </w:tcPr>
          <w:p w14:paraId="4880E429" w14:textId="77777777" w:rsidR="00270ED4" w:rsidRPr="00D2316B" w:rsidRDefault="00270ED4" w:rsidP="00270ED4">
            <w:pPr>
              <w:pStyle w:val="tablerow1"/>
              <w:spacing w:before="20" w:after="20"/>
              <w:jc w:val="left"/>
              <w:rPr>
                <w:sz w:val="17"/>
                <w:szCs w:val="17"/>
              </w:rPr>
            </w:pPr>
            <w:r w:rsidRPr="00D2316B">
              <w:rPr>
                <w:sz w:val="17"/>
                <w:szCs w:val="17"/>
              </w:rPr>
              <w:t>Sweden</w:t>
            </w:r>
          </w:p>
        </w:tc>
        <w:tc>
          <w:tcPr>
            <w:tcW w:w="1455" w:type="dxa"/>
            <w:shd w:val="clear" w:color="auto" w:fill="FFFF00"/>
            <w:vAlign w:val="center"/>
          </w:tcPr>
          <w:p w14:paraId="13BDC40D" w14:textId="77777777" w:rsidR="00270ED4" w:rsidRPr="00D2316B" w:rsidRDefault="00270ED4" w:rsidP="00270ED4">
            <w:pPr>
              <w:pStyle w:val="tablerow1"/>
              <w:spacing w:before="20" w:after="20"/>
              <w:rPr>
                <w:sz w:val="17"/>
                <w:szCs w:val="17"/>
              </w:rPr>
            </w:pPr>
            <w:r w:rsidRPr="00D2316B">
              <w:rPr>
                <w:sz w:val="17"/>
                <w:szCs w:val="17"/>
              </w:rPr>
              <w:t>555</w:t>
            </w:r>
          </w:p>
        </w:tc>
        <w:tc>
          <w:tcPr>
            <w:tcW w:w="1067" w:type="dxa"/>
            <w:shd w:val="clear" w:color="auto" w:fill="FFFF00"/>
            <w:vAlign w:val="center"/>
          </w:tcPr>
          <w:p w14:paraId="7216E150" w14:textId="77777777" w:rsidR="00270ED4" w:rsidRPr="00D2316B" w:rsidRDefault="00270ED4" w:rsidP="00270ED4">
            <w:pPr>
              <w:pStyle w:val="tablerow1"/>
              <w:spacing w:before="20" w:after="20"/>
              <w:rPr>
                <w:sz w:val="17"/>
                <w:szCs w:val="17"/>
              </w:rPr>
            </w:pPr>
            <w:r w:rsidRPr="00D2316B">
              <w:rPr>
                <w:sz w:val="17"/>
                <w:szCs w:val="17"/>
              </w:rPr>
              <w:t>2.4</w:t>
            </w:r>
          </w:p>
        </w:tc>
        <w:tc>
          <w:tcPr>
            <w:tcW w:w="1342" w:type="dxa"/>
            <w:shd w:val="clear" w:color="auto" w:fill="FFFF00"/>
          </w:tcPr>
          <w:p w14:paraId="72CEBBE9"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000BD19C" w14:textId="77777777" w:rsidR="00270ED4" w:rsidRPr="00E60B0F" w:rsidRDefault="00270ED4" w:rsidP="00270ED4">
            <w:pPr>
              <w:pStyle w:val="tablerow1"/>
              <w:spacing w:before="0" w:after="0"/>
            </w:pPr>
            <w:r w:rsidRPr="008C4970">
              <w:rPr>
                <w:sz w:val="20"/>
              </w:rPr>
              <w:sym w:font="Wingdings 3" w:char="F0C7"/>
            </w:r>
          </w:p>
        </w:tc>
      </w:tr>
      <w:tr w:rsidR="00270ED4" w:rsidRPr="00E60B0F" w14:paraId="5FC58F69" w14:textId="77777777" w:rsidTr="00270ED4">
        <w:trPr>
          <w:jc w:val="center"/>
        </w:trPr>
        <w:tc>
          <w:tcPr>
            <w:tcW w:w="1806" w:type="dxa"/>
            <w:tcBorders>
              <w:left w:val="nil"/>
            </w:tcBorders>
            <w:shd w:val="clear" w:color="auto" w:fill="FFFF00"/>
            <w:vAlign w:val="center"/>
          </w:tcPr>
          <w:p w14:paraId="02A02D28" w14:textId="77777777" w:rsidR="00270ED4" w:rsidRPr="00D2316B" w:rsidRDefault="00270ED4" w:rsidP="00270ED4">
            <w:pPr>
              <w:pStyle w:val="tablerow1"/>
              <w:spacing w:before="20" w:after="20"/>
              <w:jc w:val="left"/>
              <w:rPr>
                <w:sz w:val="17"/>
                <w:szCs w:val="17"/>
              </w:rPr>
            </w:pPr>
            <w:r w:rsidRPr="00D2316B">
              <w:rPr>
                <w:sz w:val="17"/>
                <w:szCs w:val="17"/>
              </w:rPr>
              <w:t>Hungary</w:t>
            </w:r>
          </w:p>
        </w:tc>
        <w:tc>
          <w:tcPr>
            <w:tcW w:w="1455" w:type="dxa"/>
            <w:shd w:val="clear" w:color="auto" w:fill="FFFF00"/>
            <w:vAlign w:val="center"/>
          </w:tcPr>
          <w:p w14:paraId="55F10610" w14:textId="77777777" w:rsidR="00270ED4" w:rsidRPr="00D2316B" w:rsidRDefault="00270ED4" w:rsidP="00270ED4">
            <w:pPr>
              <w:pStyle w:val="tablerow1"/>
              <w:spacing w:before="20" w:after="20"/>
              <w:rPr>
                <w:sz w:val="17"/>
                <w:szCs w:val="17"/>
              </w:rPr>
            </w:pPr>
            <w:r w:rsidRPr="00D2316B">
              <w:rPr>
                <w:sz w:val="17"/>
                <w:szCs w:val="17"/>
              </w:rPr>
              <w:t>554</w:t>
            </w:r>
          </w:p>
        </w:tc>
        <w:tc>
          <w:tcPr>
            <w:tcW w:w="1067" w:type="dxa"/>
            <w:shd w:val="clear" w:color="auto" w:fill="FFFF00"/>
            <w:vAlign w:val="center"/>
          </w:tcPr>
          <w:p w14:paraId="1A8265F0" w14:textId="77777777" w:rsidR="00270ED4" w:rsidRPr="00D2316B" w:rsidRDefault="00270ED4" w:rsidP="00270ED4">
            <w:pPr>
              <w:pStyle w:val="tablerow1"/>
              <w:spacing w:before="20" w:after="20"/>
              <w:rPr>
                <w:sz w:val="17"/>
                <w:szCs w:val="17"/>
              </w:rPr>
            </w:pPr>
            <w:r w:rsidRPr="00D2316B">
              <w:rPr>
                <w:sz w:val="17"/>
                <w:szCs w:val="17"/>
              </w:rPr>
              <w:t>2.9</w:t>
            </w:r>
          </w:p>
        </w:tc>
        <w:tc>
          <w:tcPr>
            <w:tcW w:w="1342" w:type="dxa"/>
            <w:shd w:val="clear" w:color="auto" w:fill="FFFF00"/>
          </w:tcPr>
          <w:p w14:paraId="178D75AB"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28E7CD8E" w14:textId="77777777" w:rsidR="00270ED4" w:rsidRPr="00E60B0F" w:rsidRDefault="00270ED4" w:rsidP="00270ED4">
            <w:pPr>
              <w:pStyle w:val="tablerow1"/>
              <w:spacing w:before="0" w:after="0"/>
            </w:pPr>
            <w:r w:rsidRPr="008C4970">
              <w:rPr>
                <w:sz w:val="20"/>
              </w:rPr>
              <w:sym w:font="Wingdings 3" w:char="F0C7"/>
            </w:r>
          </w:p>
        </w:tc>
      </w:tr>
      <w:tr w:rsidR="00270ED4" w:rsidRPr="00E60B0F" w14:paraId="6B94C013" w14:textId="77777777" w:rsidTr="00270ED4">
        <w:trPr>
          <w:jc w:val="center"/>
        </w:trPr>
        <w:tc>
          <w:tcPr>
            <w:tcW w:w="1806" w:type="dxa"/>
            <w:tcBorders>
              <w:left w:val="nil"/>
            </w:tcBorders>
            <w:shd w:val="clear" w:color="auto" w:fill="FFFF00"/>
            <w:vAlign w:val="center"/>
          </w:tcPr>
          <w:p w14:paraId="391B8C48" w14:textId="77777777" w:rsidR="00270ED4" w:rsidRPr="00D2316B" w:rsidRDefault="00270ED4" w:rsidP="00270ED4">
            <w:pPr>
              <w:pStyle w:val="tablerow1"/>
              <w:spacing w:before="20" w:after="20"/>
              <w:jc w:val="left"/>
              <w:rPr>
                <w:sz w:val="17"/>
                <w:szCs w:val="17"/>
              </w:rPr>
            </w:pPr>
            <w:r w:rsidRPr="00D2316B">
              <w:rPr>
                <w:sz w:val="17"/>
                <w:szCs w:val="17"/>
              </w:rPr>
              <w:t>Bulgaria</w:t>
            </w:r>
          </w:p>
        </w:tc>
        <w:tc>
          <w:tcPr>
            <w:tcW w:w="1455" w:type="dxa"/>
            <w:shd w:val="clear" w:color="auto" w:fill="FFFF00"/>
            <w:vAlign w:val="center"/>
          </w:tcPr>
          <w:p w14:paraId="70E17787" w14:textId="77777777" w:rsidR="00270ED4" w:rsidRPr="00D2316B" w:rsidRDefault="00270ED4" w:rsidP="00270ED4">
            <w:pPr>
              <w:pStyle w:val="tablerow1"/>
              <w:spacing w:before="20" w:after="20"/>
              <w:rPr>
                <w:sz w:val="17"/>
                <w:szCs w:val="17"/>
              </w:rPr>
            </w:pPr>
            <w:r w:rsidRPr="00D2316B">
              <w:rPr>
                <w:sz w:val="17"/>
                <w:szCs w:val="17"/>
              </w:rPr>
              <w:t>552</w:t>
            </w:r>
          </w:p>
        </w:tc>
        <w:tc>
          <w:tcPr>
            <w:tcW w:w="1067" w:type="dxa"/>
            <w:shd w:val="clear" w:color="auto" w:fill="FFFF00"/>
            <w:vAlign w:val="center"/>
          </w:tcPr>
          <w:p w14:paraId="14B359ED" w14:textId="77777777" w:rsidR="00270ED4" w:rsidRPr="00D2316B" w:rsidRDefault="00270ED4" w:rsidP="00270ED4">
            <w:pPr>
              <w:pStyle w:val="tablerow1"/>
              <w:spacing w:before="20" w:after="20"/>
              <w:rPr>
                <w:sz w:val="17"/>
                <w:szCs w:val="17"/>
              </w:rPr>
            </w:pPr>
            <w:r w:rsidRPr="00D2316B">
              <w:rPr>
                <w:sz w:val="17"/>
                <w:szCs w:val="17"/>
              </w:rPr>
              <w:t>4.</w:t>
            </w:r>
            <w:r>
              <w:rPr>
                <w:sz w:val="17"/>
                <w:szCs w:val="17"/>
              </w:rPr>
              <w:t>2</w:t>
            </w:r>
          </w:p>
        </w:tc>
        <w:tc>
          <w:tcPr>
            <w:tcW w:w="1342" w:type="dxa"/>
            <w:shd w:val="clear" w:color="auto" w:fill="FFFF00"/>
          </w:tcPr>
          <w:p w14:paraId="3F8D9185"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35146C8A" w14:textId="77777777" w:rsidR="00270ED4" w:rsidRPr="00E60B0F" w:rsidRDefault="00270ED4" w:rsidP="00270ED4">
            <w:pPr>
              <w:pStyle w:val="tablerow1"/>
              <w:spacing w:before="0" w:after="0"/>
            </w:pPr>
            <w:r w:rsidRPr="008C4970">
              <w:rPr>
                <w:sz w:val="20"/>
              </w:rPr>
              <w:sym w:font="Wingdings 3" w:char="F0C7"/>
            </w:r>
          </w:p>
        </w:tc>
      </w:tr>
      <w:tr w:rsidR="00270ED4" w:rsidRPr="00E60B0F" w14:paraId="55FC2244" w14:textId="77777777" w:rsidTr="00270ED4">
        <w:trPr>
          <w:jc w:val="center"/>
        </w:trPr>
        <w:tc>
          <w:tcPr>
            <w:tcW w:w="1806" w:type="dxa"/>
            <w:tcBorders>
              <w:left w:val="nil"/>
            </w:tcBorders>
            <w:shd w:val="clear" w:color="auto" w:fill="FFFF00"/>
            <w:vAlign w:val="center"/>
          </w:tcPr>
          <w:p w14:paraId="44997FDB" w14:textId="77777777" w:rsidR="00270ED4" w:rsidRPr="00D2316B" w:rsidRDefault="00270ED4" w:rsidP="00270ED4">
            <w:pPr>
              <w:pStyle w:val="tablerow1"/>
              <w:spacing w:before="20" w:after="20"/>
              <w:jc w:val="left"/>
              <w:rPr>
                <w:sz w:val="17"/>
                <w:szCs w:val="17"/>
              </w:rPr>
            </w:pPr>
            <w:r w:rsidRPr="00D2316B">
              <w:rPr>
                <w:sz w:val="17"/>
                <w:szCs w:val="17"/>
              </w:rPr>
              <w:t>United States</w:t>
            </w:r>
          </w:p>
        </w:tc>
        <w:tc>
          <w:tcPr>
            <w:tcW w:w="1455" w:type="dxa"/>
            <w:shd w:val="clear" w:color="auto" w:fill="FFFF00"/>
            <w:vAlign w:val="center"/>
          </w:tcPr>
          <w:p w14:paraId="4FCABE36" w14:textId="77777777" w:rsidR="00270ED4" w:rsidRPr="00D2316B" w:rsidRDefault="00270ED4" w:rsidP="00270ED4">
            <w:pPr>
              <w:pStyle w:val="tablerow1"/>
              <w:spacing w:before="20" w:after="20"/>
              <w:rPr>
                <w:sz w:val="17"/>
                <w:szCs w:val="17"/>
              </w:rPr>
            </w:pPr>
            <w:r w:rsidRPr="00D2316B">
              <w:rPr>
                <w:sz w:val="17"/>
                <w:szCs w:val="17"/>
              </w:rPr>
              <w:t>549</w:t>
            </w:r>
          </w:p>
        </w:tc>
        <w:tc>
          <w:tcPr>
            <w:tcW w:w="1067" w:type="dxa"/>
            <w:shd w:val="clear" w:color="auto" w:fill="FFFF00"/>
            <w:vAlign w:val="center"/>
          </w:tcPr>
          <w:p w14:paraId="2FF00CAA" w14:textId="77777777" w:rsidR="00270ED4" w:rsidRPr="00D2316B" w:rsidRDefault="00270ED4" w:rsidP="00270ED4">
            <w:pPr>
              <w:pStyle w:val="tablerow1"/>
              <w:spacing w:before="20" w:after="20"/>
              <w:rPr>
                <w:sz w:val="17"/>
                <w:szCs w:val="17"/>
              </w:rPr>
            </w:pPr>
            <w:r w:rsidRPr="00D2316B">
              <w:rPr>
                <w:sz w:val="17"/>
                <w:szCs w:val="17"/>
              </w:rPr>
              <w:t>3.1</w:t>
            </w:r>
          </w:p>
        </w:tc>
        <w:tc>
          <w:tcPr>
            <w:tcW w:w="1342" w:type="dxa"/>
            <w:shd w:val="clear" w:color="auto" w:fill="FFFF00"/>
          </w:tcPr>
          <w:p w14:paraId="27229094"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741147CB" w14:textId="77777777" w:rsidR="00270ED4" w:rsidRPr="00E60B0F" w:rsidRDefault="00270ED4" w:rsidP="00270ED4">
            <w:pPr>
              <w:pStyle w:val="tablerow1"/>
              <w:spacing w:before="0" w:after="0"/>
            </w:pPr>
            <w:r w:rsidRPr="008C4970">
              <w:rPr>
                <w:sz w:val="20"/>
              </w:rPr>
              <w:sym w:font="Wingdings 3" w:char="F0C7"/>
            </w:r>
          </w:p>
        </w:tc>
      </w:tr>
      <w:tr w:rsidR="00270ED4" w:rsidRPr="00E60B0F" w14:paraId="445FEE41" w14:textId="77777777" w:rsidTr="00270ED4">
        <w:trPr>
          <w:jc w:val="center"/>
        </w:trPr>
        <w:tc>
          <w:tcPr>
            <w:tcW w:w="1806" w:type="dxa"/>
            <w:tcBorders>
              <w:left w:val="nil"/>
            </w:tcBorders>
            <w:shd w:val="clear" w:color="auto" w:fill="FFFF00"/>
            <w:vAlign w:val="center"/>
          </w:tcPr>
          <w:p w14:paraId="44BB7DB8" w14:textId="77777777" w:rsidR="00270ED4" w:rsidRPr="00D2316B" w:rsidRDefault="00270ED4" w:rsidP="00270ED4">
            <w:pPr>
              <w:pStyle w:val="tablerow1"/>
              <w:spacing w:before="20" w:after="20"/>
              <w:jc w:val="left"/>
              <w:rPr>
                <w:sz w:val="17"/>
                <w:szCs w:val="17"/>
              </w:rPr>
            </w:pPr>
            <w:r w:rsidRPr="00D2316B">
              <w:rPr>
                <w:sz w:val="17"/>
                <w:szCs w:val="17"/>
              </w:rPr>
              <w:t>Lithuania</w:t>
            </w:r>
          </w:p>
        </w:tc>
        <w:tc>
          <w:tcPr>
            <w:tcW w:w="1455" w:type="dxa"/>
            <w:shd w:val="clear" w:color="auto" w:fill="FFFF00"/>
            <w:vAlign w:val="center"/>
          </w:tcPr>
          <w:p w14:paraId="67D2CEB6" w14:textId="77777777" w:rsidR="00270ED4" w:rsidRPr="00D2316B" w:rsidRDefault="00270ED4" w:rsidP="00270ED4">
            <w:pPr>
              <w:pStyle w:val="tablerow1"/>
              <w:spacing w:before="20" w:after="20"/>
              <w:rPr>
                <w:sz w:val="17"/>
                <w:szCs w:val="17"/>
              </w:rPr>
            </w:pPr>
            <w:r w:rsidRPr="00D2316B">
              <w:rPr>
                <w:sz w:val="17"/>
                <w:szCs w:val="17"/>
              </w:rPr>
              <w:t>548</w:t>
            </w:r>
          </w:p>
        </w:tc>
        <w:tc>
          <w:tcPr>
            <w:tcW w:w="1067" w:type="dxa"/>
            <w:shd w:val="clear" w:color="auto" w:fill="FFFF00"/>
            <w:vAlign w:val="center"/>
          </w:tcPr>
          <w:p w14:paraId="1D511847" w14:textId="77777777" w:rsidR="00270ED4" w:rsidRPr="00D2316B" w:rsidRDefault="00270ED4" w:rsidP="00270ED4">
            <w:pPr>
              <w:pStyle w:val="tablerow1"/>
              <w:spacing w:before="20" w:after="20"/>
              <w:rPr>
                <w:sz w:val="17"/>
                <w:szCs w:val="17"/>
              </w:rPr>
            </w:pPr>
            <w:r w:rsidRPr="00D2316B">
              <w:rPr>
                <w:sz w:val="17"/>
                <w:szCs w:val="17"/>
              </w:rPr>
              <w:t>2.6</w:t>
            </w:r>
          </w:p>
        </w:tc>
        <w:tc>
          <w:tcPr>
            <w:tcW w:w="1342" w:type="dxa"/>
            <w:shd w:val="clear" w:color="auto" w:fill="FFFF00"/>
          </w:tcPr>
          <w:p w14:paraId="4B1D0E72"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34BFFD29" w14:textId="77777777" w:rsidR="00270ED4" w:rsidRPr="00E60B0F" w:rsidRDefault="00270ED4" w:rsidP="00270ED4">
            <w:pPr>
              <w:pStyle w:val="tablerow1"/>
              <w:spacing w:before="0" w:after="0"/>
            </w:pPr>
            <w:r w:rsidRPr="008C4970">
              <w:rPr>
                <w:sz w:val="20"/>
              </w:rPr>
              <w:sym w:font="Wingdings 3" w:char="F0C7"/>
            </w:r>
          </w:p>
        </w:tc>
      </w:tr>
      <w:tr w:rsidR="00270ED4" w:rsidRPr="00E60B0F" w14:paraId="4E32B70B" w14:textId="77777777" w:rsidTr="00270ED4">
        <w:trPr>
          <w:jc w:val="center"/>
        </w:trPr>
        <w:tc>
          <w:tcPr>
            <w:tcW w:w="1806" w:type="dxa"/>
            <w:tcBorders>
              <w:left w:val="nil"/>
            </w:tcBorders>
            <w:shd w:val="clear" w:color="auto" w:fill="FFFF00"/>
            <w:vAlign w:val="center"/>
          </w:tcPr>
          <w:p w14:paraId="2F43FDB8" w14:textId="77777777" w:rsidR="00270ED4" w:rsidRPr="00D2316B" w:rsidRDefault="00270ED4" w:rsidP="00270ED4">
            <w:pPr>
              <w:pStyle w:val="tablerow1"/>
              <w:spacing w:before="20" w:after="20"/>
              <w:jc w:val="left"/>
              <w:rPr>
                <w:sz w:val="17"/>
                <w:szCs w:val="17"/>
              </w:rPr>
            </w:pPr>
            <w:r w:rsidRPr="00D2316B">
              <w:rPr>
                <w:sz w:val="17"/>
                <w:szCs w:val="17"/>
              </w:rPr>
              <w:t>Italy</w:t>
            </w:r>
          </w:p>
        </w:tc>
        <w:tc>
          <w:tcPr>
            <w:tcW w:w="1455" w:type="dxa"/>
            <w:shd w:val="clear" w:color="auto" w:fill="FFFF00"/>
            <w:vAlign w:val="center"/>
          </w:tcPr>
          <w:p w14:paraId="5E6947F8" w14:textId="77777777" w:rsidR="00270ED4" w:rsidRPr="00D2316B" w:rsidRDefault="00270ED4" w:rsidP="00270ED4">
            <w:pPr>
              <w:pStyle w:val="tablerow1"/>
              <w:spacing w:before="20" w:after="20"/>
              <w:rPr>
                <w:sz w:val="17"/>
                <w:szCs w:val="17"/>
              </w:rPr>
            </w:pPr>
            <w:r w:rsidRPr="00D2316B">
              <w:rPr>
                <w:sz w:val="17"/>
                <w:szCs w:val="17"/>
              </w:rPr>
              <w:t>548</w:t>
            </w:r>
          </w:p>
        </w:tc>
        <w:tc>
          <w:tcPr>
            <w:tcW w:w="1067" w:type="dxa"/>
            <w:shd w:val="clear" w:color="auto" w:fill="FFFF00"/>
            <w:vAlign w:val="center"/>
          </w:tcPr>
          <w:p w14:paraId="07FAE3EB" w14:textId="77777777" w:rsidR="00270ED4" w:rsidRPr="00D2316B" w:rsidRDefault="00270ED4" w:rsidP="00270ED4">
            <w:pPr>
              <w:pStyle w:val="tablerow1"/>
              <w:spacing w:before="20" w:after="20"/>
              <w:rPr>
                <w:sz w:val="17"/>
                <w:szCs w:val="17"/>
              </w:rPr>
            </w:pPr>
            <w:r w:rsidRPr="00D2316B">
              <w:rPr>
                <w:sz w:val="17"/>
                <w:szCs w:val="17"/>
              </w:rPr>
              <w:t>2.2</w:t>
            </w:r>
          </w:p>
        </w:tc>
        <w:tc>
          <w:tcPr>
            <w:tcW w:w="1342" w:type="dxa"/>
            <w:shd w:val="clear" w:color="auto" w:fill="FFFF00"/>
          </w:tcPr>
          <w:p w14:paraId="3F065449"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70DC4AE9" w14:textId="77777777" w:rsidR="00270ED4" w:rsidRPr="00E60B0F" w:rsidRDefault="00270ED4" w:rsidP="00270ED4">
            <w:pPr>
              <w:pStyle w:val="tablerow1"/>
              <w:spacing w:before="0" w:after="0"/>
            </w:pPr>
            <w:r w:rsidRPr="008C4970">
              <w:rPr>
                <w:sz w:val="20"/>
              </w:rPr>
              <w:sym w:font="Wingdings 3" w:char="F0C7"/>
            </w:r>
          </w:p>
        </w:tc>
      </w:tr>
      <w:tr w:rsidR="00270ED4" w:rsidRPr="00E60B0F" w14:paraId="73A65661" w14:textId="77777777" w:rsidTr="00270ED4">
        <w:trPr>
          <w:jc w:val="center"/>
        </w:trPr>
        <w:tc>
          <w:tcPr>
            <w:tcW w:w="1806" w:type="dxa"/>
            <w:tcBorders>
              <w:left w:val="nil"/>
            </w:tcBorders>
            <w:shd w:val="clear" w:color="auto" w:fill="FFFF00"/>
            <w:vAlign w:val="center"/>
          </w:tcPr>
          <w:p w14:paraId="0AA4F824" w14:textId="77777777" w:rsidR="00270ED4" w:rsidRPr="00D2316B" w:rsidRDefault="00270ED4" w:rsidP="00270ED4">
            <w:pPr>
              <w:pStyle w:val="tablerow1"/>
              <w:spacing w:before="20" w:after="20"/>
              <w:jc w:val="left"/>
              <w:rPr>
                <w:sz w:val="17"/>
                <w:szCs w:val="17"/>
              </w:rPr>
            </w:pPr>
            <w:r w:rsidRPr="00D2316B">
              <w:rPr>
                <w:sz w:val="17"/>
                <w:szCs w:val="17"/>
              </w:rPr>
              <w:t>Denmark</w:t>
            </w:r>
          </w:p>
        </w:tc>
        <w:tc>
          <w:tcPr>
            <w:tcW w:w="1455" w:type="dxa"/>
            <w:shd w:val="clear" w:color="auto" w:fill="FFFF00"/>
            <w:vAlign w:val="center"/>
          </w:tcPr>
          <w:p w14:paraId="75D03A11" w14:textId="77777777" w:rsidR="00270ED4" w:rsidRPr="00D2316B" w:rsidRDefault="00270ED4" w:rsidP="00270ED4">
            <w:pPr>
              <w:pStyle w:val="tablerow1"/>
              <w:spacing w:before="20" w:after="20"/>
              <w:rPr>
                <w:sz w:val="17"/>
                <w:szCs w:val="17"/>
              </w:rPr>
            </w:pPr>
            <w:r w:rsidRPr="00D2316B">
              <w:rPr>
                <w:sz w:val="17"/>
                <w:szCs w:val="17"/>
              </w:rPr>
              <w:t>54</w:t>
            </w:r>
            <w:r>
              <w:rPr>
                <w:sz w:val="17"/>
                <w:szCs w:val="17"/>
              </w:rPr>
              <w:t>7</w:t>
            </w:r>
          </w:p>
        </w:tc>
        <w:tc>
          <w:tcPr>
            <w:tcW w:w="1067" w:type="dxa"/>
            <w:shd w:val="clear" w:color="auto" w:fill="FFFF00"/>
            <w:vAlign w:val="center"/>
          </w:tcPr>
          <w:p w14:paraId="505098D5" w14:textId="77777777" w:rsidR="00270ED4" w:rsidRPr="00D2316B" w:rsidRDefault="00270ED4" w:rsidP="00270ED4">
            <w:pPr>
              <w:pStyle w:val="tablerow1"/>
              <w:spacing w:before="20" w:after="20"/>
              <w:rPr>
                <w:sz w:val="17"/>
                <w:szCs w:val="17"/>
              </w:rPr>
            </w:pPr>
            <w:r w:rsidRPr="00D2316B">
              <w:rPr>
                <w:sz w:val="17"/>
                <w:szCs w:val="17"/>
              </w:rPr>
              <w:t>2.1</w:t>
            </w:r>
          </w:p>
        </w:tc>
        <w:tc>
          <w:tcPr>
            <w:tcW w:w="1342" w:type="dxa"/>
            <w:shd w:val="clear" w:color="auto" w:fill="FFFF00"/>
          </w:tcPr>
          <w:p w14:paraId="3F040A8E"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1915C800" w14:textId="77777777" w:rsidR="00270ED4" w:rsidRPr="00E60B0F" w:rsidRDefault="00270ED4" w:rsidP="00270ED4">
            <w:pPr>
              <w:pStyle w:val="tablerow1"/>
              <w:spacing w:before="0" w:after="0"/>
            </w:pPr>
            <w:r w:rsidRPr="008C4970">
              <w:rPr>
                <w:sz w:val="20"/>
              </w:rPr>
              <w:sym w:font="Wingdings 3" w:char="F0C7"/>
            </w:r>
          </w:p>
        </w:tc>
      </w:tr>
      <w:tr w:rsidR="00270ED4" w:rsidRPr="00E60B0F" w14:paraId="3B85BB65" w14:textId="77777777" w:rsidTr="00270ED4">
        <w:trPr>
          <w:jc w:val="center"/>
        </w:trPr>
        <w:tc>
          <w:tcPr>
            <w:tcW w:w="1806" w:type="dxa"/>
            <w:tcBorders>
              <w:left w:val="nil"/>
            </w:tcBorders>
            <w:shd w:val="clear" w:color="auto" w:fill="FFFF00"/>
            <w:vAlign w:val="center"/>
          </w:tcPr>
          <w:p w14:paraId="4F4CB1C9" w14:textId="77777777" w:rsidR="00270ED4" w:rsidRPr="00D2316B" w:rsidRDefault="00270ED4" w:rsidP="00270ED4">
            <w:pPr>
              <w:pStyle w:val="tablerow1"/>
              <w:spacing w:before="20" w:after="20"/>
              <w:jc w:val="left"/>
              <w:rPr>
                <w:sz w:val="17"/>
                <w:szCs w:val="17"/>
              </w:rPr>
            </w:pPr>
            <w:r w:rsidRPr="00D2316B">
              <w:rPr>
                <w:sz w:val="17"/>
                <w:szCs w:val="17"/>
              </w:rPr>
              <w:t>Macao SAR</w:t>
            </w:r>
          </w:p>
        </w:tc>
        <w:tc>
          <w:tcPr>
            <w:tcW w:w="1455" w:type="dxa"/>
            <w:shd w:val="clear" w:color="auto" w:fill="FFFF00"/>
            <w:vAlign w:val="center"/>
          </w:tcPr>
          <w:p w14:paraId="4C4D513F" w14:textId="77777777" w:rsidR="00270ED4" w:rsidRPr="00D2316B" w:rsidRDefault="00270ED4" w:rsidP="00270ED4">
            <w:pPr>
              <w:pStyle w:val="tablerow1"/>
              <w:spacing w:before="20" w:after="20"/>
              <w:rPr>
                <w:sz w:val="17"/>
                <w:szCs w:val="17"/>
              </w:rPr>
            </w:pPr>
            <w:r w:rsidRPr="00D2316B">
              <w:rPr>
                <w:sz w:val="17"/>
                <w:szCs w:val="17"/>
              </w:rPr>
              <w:t>546</w:t>
            </w:r>
          </w:p>
        </w:tc>
        <w:tc>
          <w:tcPr>
            <w:tcW w:w="1067" w:type="dxa"/>
            <w:shd w:val="clear" w:color="auto" w:fill="FFFF00"/>
            <w:vAlign w:val="center"/>
          </w:tcPr>
          <w:p w14:paraId="4D32C6F0" w14:textId="77777777" w:rsidR="00270ED4" w:rsidRPr="00D2316B" w:rsidRDefault="00270ED4" w:rsidP="00270ED4">
            <w:pPr>
              <w:pStyle w:val="tablerow1"/>
              <w:spacing w:before="20" w:after="20"/>
              <w:rPr>
                <w:sz w:val="17"/>
                <w:szCs w:val="17"/>
              </w:rPr>
            </w:pPr>
            <w:r w:rsidRPr="00D2316B">
              <w:rPr>
                <w:sz w:val="17"/>
                <w:szCs w:val="17"/>
              </w:rPr>
              <w:t>1.0</w:t>
            </w:r>
          </w:p>
        </w:tc>
        <w:tc>
          <w:tcPr>
            <w:tcW w:w="1342" w:type="dxa"/>
            <w:shd w:val="clear" w:color="auto" w:fill="FFFF00"/>
          </w:tcPr>
          <w:p w14:paraId="3006B1FE"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0BE717B9" w14:textId="77777777" w:rsidR="00270ED4" w:rsidRPr="00E60B0F" w:rsidRDefault="00270ED4" w:rsidP="00270ED4">
            <w:pPr>
              <w:pStyle w:val="tablerow1"/>
              <w:spacing w:before="0" w:after="0"/>
            </w:pPr>
            <w:r w:rsidRPr="008C4970">
              <w:rPr>
                <w:sz w:val="20"/>
              </w:rPr>
              <w:sym w:font="Wingdings 3" w:char="F0C7"/>
            </w:r>
          </w:p>
        </w:tc>
      </w:tr>
      <w:tr w:rsidR="00270ED4" w:rsidRPr="00E60B0F" w14:paraId="06C19F03" w14:textId="77777777" w:rsidTr="00270ED4">
        <w:trPr>
          <w:jc w:val="center"/>
        </w:trPr>
        <w:tc>
          <w:tcPr>
            <w:tcW w:w="1806" w:type="dxa"/>
            <w:tcBorders>
              <w:left w:val="nil"/>
            </w:tcBorders>
            <w:shd w:val="clear" w:color="auto" w:fill="FFFF00"/>
            <w:vAlign w:val="center"/>
          </w:tcPr>
          <w:p w14:paraId="1472EB75" w14:textId="77777777" w:rsidR="00270ED4" w:rsidRPr="00D2316B" w:rsidRDefault="00270ED4" w:rsidP="00270ED4">
            <w:pPr>
              <w:pStyle w:val="tablerow1"/>
              <w:spacing w:before="20" w:after="20"/>
              <w:jc w:val="left"/>
              <w:rPr>
                <w:sz w:val="17"/>
                <w:szCs w:val="17"/>
              </w:rPr>
            </w:pPr>
            <w:r w:rsidRPr="00D2316B">
              <w:rPr>
                <w:sz w:val="17"/>
                <w:szCs w:val="17"/>
              </w:rPr>
              <w:t>Netherlands</w:t>
            </w:r>
          </w:p>
        </w:tc>
        <w:tc>
          <w:tcPr>
            <w:tcW w:w="1455" w:type="dxa"/>
            <w:shd w:val="clear" w:color="auto" w:fill="FFFF00"/>
            <w:vAlign w:val="center"/>
          </w:tcPr>
          <w:p w14:paraId="17BFB236" w14:textId="77777777" w:rsidR="00270ED4" w:rsidRPr="00D2316B" w:rsidRDefault="00270ED4" w:rsidP="00270ED4">
            <w:pPr>
              <w:pStyle w:val="tablerow1"/>
              <w:spacing w:before="20" w:after="20"/>
              <w:rPr>
                <w:sz w:val="17"/>
                <w:szCs w:val="17"/>
              </w:rPr>
            </w:pPr>
            <w:r w:rsidRPr="00D2316B">
              <w:rPr>
                <w:sz w:val="17"/>
                <w:szCs w:val="17"/>
              </w:rPr>
              <w:t>545</w:t>
            </w:r>
          </w:p>
        </w:tc>
        <w:tc>
          <w:tcPr>
            <w:tcW w:w="1067" w:type="dxa"/>
            <w:shd w:val="clear" w:color="auto" w:fill="FFFF00"/>
            <w:vAlign w:val="center"/>
          </w:tcPr>
          <w:p w14:paraId="302478C4" w14:textId="77777777" w:rsidR="00270ED4" w:rsidRPr="00D2316B" w:rsidRDefault="00270ED4" w:rsidP="00270ED4">
            <w:pPr>
              <w:pStyle w:val="tablerow1"/>
              <w:spacing w:before="20" w:after="20"/>
              <w:rPr>
                <w:sz w:val="17"/>
                <w:szCs w:val="17"/>
              </w:rPr>
            </w:pPr>
            <w:r w:rsidRPr="00D2316B">
              <w:rPr>
                <w:sz w:val="17"/>
                <w:szCs w:val="17"/>
              </w:rPr>
              <w:t>1.7</w:t>
            </w:r>
          </w:p>
        </w:tc>
        <w:tc>
          <w:tcPr>
            <w:tcW w:w="1342" w:type="dxa"/>
            <w:shd w:val="clear" w:color="auto" w:fill="FFFF00"/>
          </w:tcPr>
          <w:p w14:paraId="0239C50F"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7D49795B" w14:textId="77777777" w:rsidR="00270ED4" w:rsidRPr="00E60B0F" w:rsidRDefault="00270ED4" w:rsidP="00270ED4">
            <w:pPr>
              <w:pStyle w:val="tablerow1"/>
              <w:spacing w:before="0" w:after="0"/>
            </w:pPr>
            <w:r w:rsidRPr="008C4970">
              <w:rPr>
                <w:sz w:val="20"/>
              </w:rPr>
              <w:sym w:font="Wingdings 3" w:char="F0C7"/>
            </w:r>
          </w:p>
        </w:tc>
      </w:tr>
      <w:tr w:rsidR="00270ED4" w:rsidRPr="00E60B0F" w14:paraId="372E20F8" w14:textId="77777777" w:rsidTr="00270ED4">
        <w:trPr>
          <w:jc w:val="center"/>
        </w:trPr>
        <w:tc>
          <w:tcPr>
            <w:tcW w:w="1806" w:type="dxa"/>
            <w:tcBorders>
              <w:left w:val="nil"/>
            </w:tcBorders>
            <w:shd w:val="clear" w:color="auto" w:fill="FFFF00"/>
            <w:vAlign w:val="center"/>
          </w:tcPr>
          <w:p w14:paraId="4CFDDF60" w14:textId="77777777" w:rsidR="00270ED4" w:rsidRPr="00D2316B" w:rsidRDefault="00270ED4" w:rsidP="00270ED4">
            <w:pPr>
              <w:pStyle w:val="tablerow1"/>
              <w:spacing w:before="20" w:after="20"/>
              <w:jc w:val="left"/>
              <w:rPr>
                <w:sz w:val="17"/>
                <w:szCs w:val="17"/>
              </w:rPr>
            </w:pPr>
            <w:r w:rsidRPr="00D2316B">
              <w:rPr>
                <w:sz w:val="17"/>
                <w:szCs w:val="17"/>
              </w:rPr>
              <w:t>Australia</w:t>
            </w:r>
          </w:p>
        </w:tc>
        <w:tc>
          <w:tcPr>
            <w:tcW w:w="1455" w:type="dxa"/>
            <w:shd w:val="clear" w:color="auto" w:fill="FFFF00"/>
            <w:vAlign w:val="center"/>
          </w:tcPr>
          <w:p w14:paraId="426F42F0" w14:textId="77777777" w:rsidR="00270ED4" w:rsidRPr="00D2316B" w:rsidRDefault="00270ED4" w:rsidP="00270ED4">
            <w:pPr>
              <w:pStyle w:val="tablerow1"/>
              <w:spacing w:before="20" w:after="20"/>
              <w:rPr>
                <w:sz w:val="17"/>
                <w:szCs w:val="17"/>
              </w:rPr>
            </w:pPr>
            <w:r w:rsidRPr="00D2316B">
              <w:rPr>
                <w:sz w:val="17"/>
                <w:szCs w:val="17"/>
              </w:rPr>
              <w:t>544</w:t>
            </w:r>
          </w:p>
        </w:tc>
        <w:tc>
          <w:tcPr>
            <w:tcW w:w="1067" w:type="dxa"/>
            <w:shd w:val="clear" w:color="auto" w:fill="FFFF00"/>
            <w:vAlign w:val="center"/>
          </w:tcPr>
          <w:p w14:paraId="4167BB97" w14:textId="77777777" w:rsidR="00270ED4" w:rsidRPr="00D2316B" w:rsidRDefault="00270ED4" w:rsidP="00270ED4">
            <w:pPr>
              <w:pStyle w:val="tablerow1"/>
              <w:spacing w:before="20" w:after="20"/>
              <w:rPr>
                <w:sz w:val="17"/>
                <w:szCs w:val="17"/>
              </w:rPr>
            </w:pPr>
            <w:r w:rsidRPr="00D2316B">
              <w:rPr>
                <w:sz w:val="17"/>
                <w:szCs w:val="17"/>
              </w:rPr>
              <w:t>2.5</w:t>
            </w:r>
          </w:p>
        </w:tc>
        <w:tc>
          <w:tcPr>
            <w:tcW w:w="1342" w:type="dxa"/>
            <w:shd w:val="clear" w:color="auto" w:fill="FFFF00"/>
          </w:tcPr>
          <w:p w14:paraId="439477DB"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31C6EAE5" w14:textId="77777777" w:rsidR="00270ED4" w:rsidRPr="00E60B0F" w:rsidRDefault="00270ED4" w:rsidP="00270ED4">
            <w:pPr>
              <w:pStyle w:val="tablerow1"/>
              <w:spacing w:before="0" w:after="0"/>
            </w:pPr>
            <w:r w:rsidRPr="008C4970">
              <w:rPr>
                <w:sz w:val="20"/>
              </w:rPr>
              <w:sym w:font="Wingdings 3" w:char="F0C7"/>
            </w:r>
          </w:p>
        </w:tc>
      </w:tr>
      <w:tr w:rsidR="00270ED4" w:rsidRPr="00E60B0F" w14:paraId="7107153B" w14:textId="77777777" w:rsidTr="00270ED4">
        <w:trPr>
          <w:jc w:val="center"/>
        </w:trPr>
        <w:tc>
          <w:tcPr>
            <w:tcW w:w="1806" w:type="dxa"/>
            <w:tcBorders>
              <w:left w:val="nil"/>
            </w:tcBorders>
            <w:shd w:val="clear" w:color="auto" w:fill="FFFF00"/>
            <w:vAlign w:val="center"/>
          </w:tcPr>
          <w:p w14:paraId="7FB39265" w14:textId="77777777" w:rsidR="00270ED4" w:rsidRPr="00D2316B" w:rsidRDefault="00270ED4" w:rsidP="00270ED4">
            <w:pPr>
              <w:pStyle w:val="tablerow1"/>
              <w:spacing w:before="20" w:after="20"/>
              <w:jc w:val="left"/>
              <w:rPr>
                <w:sz w:val="17"/>
                <w:szCs w:val="17"/>
              </w:rPr>
            </w:pPr>
            <w:r w:rsidRPr="00D2316B">
              <w:rPr>
                <w:sz w:val="17"/>
                <w:szCs w:val="17"/>
              </w:rPr>
              <w:t>Czech Republic</w:t>
            </w:r>
          </w:p>
        </w:tc>
        <w:tc>
          <w:tcPr>
            <w:tcW w:w="1455" w:type="dxa"/>
            <w:shd w:val="clear" w:color="auto" w:fill="FFFF00"/>
            <w:vAlign w:val="center"/>
          </w:tcPr>
          <w:p w14:paraId="270437C3" w14:textId="77777777" w:rsidR="00270ED4" w:rsidRPr="00D2316B" w:rsidRDefault="00270ED4" w:rsidP="00270ED4">
            <w:pPr>
              <w:pStyle w:val="tablerow1"/>
              <w:spacing w:before="20" w:after="20"/>
              <w:rPr>
                <w:sz w:val="17"/>
                <w:szCs w:val="17"/>
              </w:rPr>
            </w:pPr>
            <w:r w:rsidRPr="00D2316B">
              <w:rPr>
                <w:sz w:val="17"/>
                <w:szCs w:val="17"/>
              </w:rPr>
              <w:t>543</w:t>
            </w:r>
          </w:p>
        </w:tc>
        <w:tc>
          <w:tcPr>
            <w:tcW w:w="1067" w:type="dxa"/>
            <w:shd w:val="clear" w:color="auto" w:fill="FFFF00"/>
            <w:vAlign w:val="center"/>
          </w:tcPr>
          <w:p w14:paraId="67DBEC1C" w14:textId="77777777" w:rsidR="00270ED4" w:rsidRPr="00D2316B" w:rsidRDefault="00270ED4" w:rsidP="00270ED4">
            <w:pPr>
              <w:pStyle w:val="tablerow1"/>
              <w:spacing w:before="20" w:after="20"/>
              <w:rPr>
                <w:sz w:val="17"/>
                <w:szCs w:val="17"/>
              </w:rPr>
            </w:pPr>
            <w:r w:rsidRPr="00D2316B">
              <w:rPr>
                <w:sz w:val="17"/>
                <w:szCs w:val="17"/>
              </w:rPr>
              <w:t>2.1</w:t>
            </w:r>
          </w:p>
        </w:tc>
        <w:tc>
          <w:tcPr>
            <w:tcW w:w="1342" w:type="dxa"/>
            <w:shd w:val="clear" w:color="auto" w:fill="FFFF00"/>
          </w:tcPr>
          <w:p w14:paraId="7AFDD7D1"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774D7179" w14:textId="77777777" w:rsidR="00270ED4" w:rsidRPr="00E60B0F" w:rsidRDefault="00270ED4" w:rsidP="00270ED4">
            <w:pPr>
              <w:pStyle w:val="tablerow1"/>
              <w:spacing w:before="0" w:after="0"/>
            </w:pPr>
            <w:r w:rsidRPr="008C4970">
              <w:rPr>
                <w:sz w:val="20"/>
              </w:rPr>
              <w:sym w:font="Wingdings 3" w:char="F0C7"/>
            </w:r>
          </w:p>
        </w:tc>
      </w:tr>
      <w:tr w:rsidR="00270ED4" w:rsidRPr="00E60B0F" w14:paraId="2D2337F4" w14:textId="77777777" w:rsidTr="00270ED4">
        <w:trPr>
          <w:jc w:val="center"/>
        </w:trPr>
        <w:tc>
          <w:tcPr>
            <w:tcW w:w="1806" w:type="dxa"/>
            <w:tcBorders>
              <w:left w:val="nil"/>
            </w:tcBorders>
            <w:shd w:val="clear" w:color="auto" w:fill="FFFF00"/>
            <w:vAlign w:val="center"/>
          </w:tcPr>
          <w:p w14:paraId="37C67664" w14:textId="77777777" w:rsidR="00270ED4" w:rsidRPr="00D2316B" w:rsidRDefault="00270ED4" w:rsidP="00270ED4">
            <w:pPr>
              <w:pStyle w:val="tablerow1"/>
              <w:spacing w:before="20" w:after="20"/>
              <w:jc w:val="left"/>
              <w:rPr>
                <w:sz w:val="17"/>
                <w:szCs w:val="17"/>
              </w:rPr>
            </w:pPr>
            <w:r w:rsidRPr="00D2316B">
              <w:rPr>
                <w:sz w:val="17"/>
                <w:szCs w:val="17"/>
              </w:rPr>
              <w:t>Canada</w:t>
            </w:r>
          </w:p>
        </w:tc>
        <w:tc>
          <w:tcPr>
            <w:tcW w:w="1455" w:type="dxa"/>
            <w:shd w:val="clear" w:color="auto" w:fill="FFFF00"/>
            <w:vAlign w:val="center"/>
          </w:tcPr>
          <w:p w14:paraId="53B89AD7" w14:textId="77777777" w:rsidR="00270ED4" w:rsidRPr="00D2316B" w:rsidRDefault="00270ED4" w:rsidP="00270ED4">
            <w:pPr>
              <w:pStyle w:val="tablerow1"/>
              <w:spacing w:before="20" w:after="20"/>
              <w:rPr>
                <w:sz w:val="17"/>
                <w:szCs w:val="17"/>
              </w:rPr>
            </w:pPr>
            <w:r w:rsidRPr="00D2316B">
              <w:rPr>
                <w:sz w:val="17"/>
                <w:szCs w:val="17"/>
              </w:rPr>
              <w:t>54</w:t>
            </w:r>
            <w:r>
              <w:rPr>
                <w:sz w:val="17"/>
                <w:szCs w:val="17"/>
              </w:rPr>
              <w:t>3</w:t>
            </w:r>
          </w:p>
        </w:tc>
        <w:tc>
          <w:tcPr>
            <w:tcW w:w="1067" w:type="dxa"/>
            <w:shd w:val="clear" w:color="auto" w:fill="FFFF00"/>
            <w:vAlign w:val="center"/>
          </w:tcPr>
          <w:p w14:paraId="6C191301" w14:textId="77777777" w:rsidR="00270ED4" w:rsidRPr="00D2316B" w:rsidRDefault="00270ED4" w:rsidP="00270ED4">
            <w:pPr>
              <w:pStyle w:val="tablerow1"/>
              <w:spacing w:before="20" w:after="20"/>
              <w:rPr>
                <w:sz w:val="17"/>
                <w:szCs w:val="17"/>
              </w:rPr>
            </w:pPr>
            <w:r w:rsidRPr="00D2316B">
              <w:rPr>
                <w:sz w:val="17"/>
                <w:szCs w:val="17"/>
              </w:rPr>
              <w:t>1.</w:t>
            </w:r>
            <w:r>
              <w:rPr>
                <w:sz w:val="17"/>
                <w:szCs w:val="17"/>
              </w:rPr>
              <w:t>8</w:t>
            </w:r>
          </w:p>
        </w:tc>
        <w:tc>
          <w:tcPr>
            <w:tcW w:w="1342" w:type="dxa"/>
            <w:shd w:val="clear" w:color="auto" w:fill="FFFF00"/>
          </w:tcPr>
          <w:p w14:paraId="18FAF298"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6E3973FA" w14:textId="77777777" w:rsidR="00270ED4" w:rsidRPr="008C4970" w:rsidRDefault="00270ED4" w:rsidP="00270ED4">
            <w:pPr>
              <w:pStyle w:val="tablerow1"/>
              <w:spacing w:before="0" w:after="0"/>
              <w:rPr>
                <w:sz w:val="20"/>
              </w:rPr>
            </w:pPr>
            <w:r w:rsidRPr="008C4970">
              <w:rPr>
                <w:sz w:val="20"/>
              </w:rPr>
              <w:sym w:font="Wingdings 3" w:char="F0C7"/>
            </w:r>
          </w:p>
        </w:tc>
      </w:tr>
      <w:tr w:rsidR="00270ED4" w:rsidRPr="00E60B0F" w14:paraId="5702B022" w14:textId="77777777" w:rsidTr="00270ED4">
        <w:trPr>
          <w:jc w:val="center"/>
        </w:trPr>
        <w:tc>
          <w:tcPr>
            <w:tcW w:w="1806" w:type="dxa"/>
            <w:tcBorders>
              <w:left w:val="nil"/>
            </w:tcBorders>
            <w:shd w:val="clear" w:color="auto" w:fill="FFFF00"/>
            <w:vAlign w:val="center"/>
          </w:tcPr>
          <w:p w14:paraId="3B26687A" w14:textId="77777777" w:rsidR="00270ED4" w:rsidRPr="00D2316B" w:rsidRDefault="00270ED4" w:rsidP="00270ED4">
            <w:pPr>
              <w:pStyle w:val="tablerow1"/>
              <w:spacing w:before="20" w:after="20"/>
              <w:jc w:val="left"/>
              <w:rPr>
                <w:sz w:val="17"/>
                <w:szCs w:val="17"/>
              </w:rPr>
            </w:pPr>
            <w:r w:rsidRPr="00D2316B">
              <w:rPr>
                <w:sz w:val="17"/>
                <w:szCs w:val="17"/>
              </w:rPr>
              <w:t>Slovenia</w:t>
            </w:r>
          </w:p>
        </w:tc>
        <w:tc>
          <w:tcPr>
            <w:tcW w:w="1455" w:type="dxa"/>
            <w:shd w:val="clear" w:color="auto" w:fill="FFFF00"/>
            <w:vAlign w:val="center"/>
          </w:tcPr>
          <w:p w14:paraId="4B82EC2F" w14:textId="77777777" w:rsidR="00270ED4" w:rsidRPr="00D2316B" w:rsidRDefault="00270ED4" w:rsidP="00270ED4">
            <w:pPr>
              <w:pStyle w:val="tablerow1"/>
              <w:spacing w:before="20" w:after="20"/>
              <w:rPr>
                <w:sz w:val="17"/>
                <w:szCs w:val="17"/>
              </w:rPr>
            </w:pPr>
            <w:r w:rsidRPr="00D2316B">
              <w:rPr>
                <w:sz w:val="17"/>
                <w:szCs w:val="17"/>
              </w:rPr>
              <w:t>542</w:t>
            </w:r>
          </w:p>
        </w:tc>
        <w:tc>
          <w:tcPr>
            <w:tcW w:w="1067" w:type="dxa"/>
            <w:shd w:val="clear" w:color="auto" w:fill="FFFF00"/>
            <w:vAlign w:val="center"/>
          </w:tcPr>
          <w:p w14:paraId="78AB9512" w14:textId="77777777" w:rsidR="00270ED4" w:rsidRPr="00D2316B" w:rsidRDefault="00270ED4" w:rsidP="00270ED4">
            <w:pPr>
              <w:pStyle w:val="tablerow1"/>
              <w:spacing w:before="20" w:after="20"/>
              <w:rPr>
                <w:sz w:val="17"/>
                <w:szCs w:val="17"/>
              </w:rPr>
            </w:pPr>
            <w:r w:rsidRPr="00D2316B">
              <w:rPr>
                <w:sz w:val="17"/>
                <w:szCs w:val="17"/>
              </w:rPr>
              <w:t>2.0</w:t>
            </w:r>
          </w:p>
        </w:tc>
        <w:tc>
          <w:tcPr>
            <w:tcW w:w="1342" w:type="dxa"/>
            <w:shd w:val="clear" w:color="auto" w:fill="FFFF00"/>
          </w:tcPr>
          <w:p w14:paraId="6982D71C"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5B834BE0" w14:textId="77777777" w:rsidR="00270ED4" w:rsidRPr="00E60B0F" w:rsidRDefault="00270ED4" w:rsidP="00270ED4">
            <w:pPr>
              <w:pStyle w:val="tablerow1"/>
              <w:spacing w:before="0" w:after="0"/>
            </w:pPr>
            <w:r w:rsidRPr="008C4970">
              <w:rPr>
                <w:sz w:val="20"/>
              </w:rPr>
              <w:sym w:font="Wingdings 3" w:char="F0C7"/>
            </w:r>
          </w:p>
        </w:tc>
      </w:tr>
      <w:tr w:rsidR="00270ED4" w:rsidRPr="00E60B0F" w14:paraId="135CBAD3" w14:textId="77777777" w:rsidTr="00270ED4">
        <w:trPr>
          <w:jc w:val="center"/>
        </w:trPr>
        <w:tc>
          <w:tcPr>
            <w:tcW w:w="1806" w:type="dxa"/>
            <w:tcBorders>
              <w:left w:val="nil"/>
            </w:tcBorders>
            <w:shd w:val="clear" w:color="auto" w:fill="FFFF00"/>
            <w:vAlign w:val="center"/>
          </w:tcPr>
          <w:p w14:paraId="1D2BE770" w14:textId="77777777" w:rsidR="00270ED4" w:rsidRPr="00D2316B" w:rsidRDefault="00270ED4" w:rsidP="00270ED4">
            <w:pPr>
              <w:pStyle w:val="tablerow1"/>
              <w:spacing w:before="20" w:after="20"/>
              <w:jc w:val="left"/>
              <w:rPr>
                <w:sz w:val="17"/>
                <w:szCs w:val="17"/>
              </w:rPr>
            </w:pPr>
            <w:r w:rsidRPr="00D2316B">
              <w:rPr>
                <w:sz w:val="17"/>
                <w:szCs w:val="17"/>
              </w:rPr>
              <w:t>Austria</w:t>
            </w:r>
          </w:p>
        </w:tc>
        <w:tc>
          <w:tcPr>
            <w:tcW w:w="1455" w:type="dxa"/>
            <w:shd w:val="clear" w:color="auto" w:fill="FFFF00"/>
            <w:vAlign w:val="center"/>
          </w:tcPr>
          <w:p w14:paraId="385A7A6C" w14:textId="77777777" w:rsidR="00270ED4" w:rsidRPr="00D2316B" w:rsidRDefault="00270ED4" w:rsidP="00270ED4">
            <w:pPr>
              <w:pStyle w:val="tablerow1"/>
              <w:spacing w:before="20" w:after="20"/>
              <w:rPr>
                <w:sz w:val="17"/>
                <w:szCs w:val="17"/>
              </w:rPr>
            </w:pPr>
            <w:r w:rsidRPr="00D2316B">
              <w:rPr>
                <w:sz w:val="17"/>
                <w:szCs w:val="17"/>
              </w:rPr>
              <w:t>541</w:t>
            </w:r>
          </w:p>
        </w:tc>
        <w:tc>
          <w:tcPr>
            <w:tcW w:w="1067" w:type="dxa"/>
            <w:shd w:val="clear" w:color="auto" w:fill="FFFF00"/>
            <w:vAlign w:val="center"/>
          </w:tcPr>
          <w:p w14:paraId="021746B2" w14:textId="77777777" w:rsidR="00270ED4" w:rsidRPr="00D2316B" w:rsidRDefault="00270ED4" w:rsidP="00270ED4">
            <w:pPr>
              <w:pStyle w:val="tablerow1"/>
              <w:spacing w:before="20" w:after="20"/>
              <w:rPr>
                <w:sz w:val="17"/>
                <w:szCs w:val="17"/>
              </w:rPr>
            </w:pPr>
            <w:r w:rsidRPr="00D2316B">
              <w:rPr>
                <w:sz w:val="17"/>
                <w:szCs w:val="17"/>
              </w:rPr>
              <w:t>2.4</w:t>
            </w:r>
          </w:p>
        </w:tc>
        <w:tc>
          <w:tcPr>
            <w:tcW w:w="1342" w:type="dxa"/>
            <w:shd w:val="clear" w:color="auto" w:fill="FFFF00"/>
          </w:tcPr>
          <w:p w14:paraId="51FFDCC0"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5FC49388" w14:textId="77777777" w:rsidR="00270ED4" w:rsidRPr="00E60B0F" w:rsidRDefault="00270ED4" w:rsidP="00270ED4">
            <w:pPr>
              <w:pStyle w:val="tablerow1"/>
              <w:spacing w:before="0" w:after="0"/>
            </w:pPr>
            <w:r w:rsidRPr="008C4970">
              <w:rPr>
                <w:sz w:val="20"/>
              </w:rPr>
              <w:sym w:font="Wingdings 3" w:char="F0C7"/>
            </w:r>
          </w:p>
        </w:tc>
      </w:tr>
      <w:tr w:rsidR="00270ED4" w:rsidRPr="00E60B0F" w14:paraId="050622F0" w14:textId="77777777" w:rsidTr="00270ED4">
        <w:trPr>
          <w:jc w:val="center"/>
        </w:trPr>
        <w:tc>
          <w:tcPr>
            <w:tcW w:w="1806" w:type="dxa"/>
            <w:tcBorders>
              <w:left w:val="nil"/>
            </w:tcBorders>
            <w:shd w:val="clear" w:color="auto" w:fill="FFFF00"/>
            <w:vAlign w:val="center"/>
          </w:tcPr>
          <w:p w14:paraId="6777F223" w14:textId="77777777" w:rsidR="00270ED4" w:rsidRPr="00D2316B" w:rsidRDefault="00270ED4" w:rsidP="00270ED4">
            <w:pPr>
              <w:pStyle w:val="tablerow1"/>
              <w:spacing w:before="20" w:after="20"/>
              <w:jc w:val="left"/>
              <w:rPr>
                <w:sz w:val="17"/>
                <w:szCs w:val="17"/>
              </w:rPr>
            </w:pPr>
            <w:r w:rsidRPr="00D2316B">
              <w:rPr>
                <w:sz w:val="17"/>
                <w:szCs w:val="17"/>
              </w:rPr>
              <w:t>Germany</w:t>
            </w:r>
          </w:p>
        </w:tc>
        <w:tc>
          <w:tcPr>
            <w:tcW w:w="1455" w:type="dxa"/>
            <w:shd w:val="clear" w:color="auto" w:fill="FFFF00"/>
            <w:vAlign w:val="center"/>
          </w:tcPr>
          <w:p w14:paraId="7F911F79" w14:textId="77777777" w:rsidR="00270ED4" w:rsidRPr="00D2316B" w:rsidRDefault="00270ED4" w:rsidP="00270ED4">
            <w:pPr>
              <w:pStyle w:val="tablerow1"/>
              <w:spacing w:before="20" w:after="20"/>
              <w:rPr>
                <w:sz w:val="17"/>
                <w:szCs w:val="17"/>
              </w:rPr>
            </w:pPr>
            <w:r w:rsidRPr="00D2316B">
              <w:rPr>
                <w:sz w:val="17"/>
                <w:szCs w:val="17"/>
              </w:rPr>
              <w:t>537</w:t>
            </w:r>
          </w:p>
        </w:tc>
        <w:tc>
          <w:tcPr>
            <w:tcW w:w="1067" w:type="dxa"/>
            <w:shd w:val="clear" w:color="auto" w:fill="FFFF00"/>
            <w:vAlign w:val="center"/>
          </w:tcPr>
          <w:p w14:paraId="7D716156" w14:textId="77777777" w:rsidR="00270ED4" w:rsidRPr="00D2316B" w:rsidRDefault="00270ED4" w:rsidP="00270ED4">
            <w:pPr>
              <w:pStyle w:val="tablerow1"/>
              <w:spacing w:before="20" w:after="20"/>
              <w:rPr>
                <w:sz w:val="17"/>
                <w:szCs w:val="17"/>
              </w:rPr>
            </w:pPr>
            <w:r w:rsidRPr="00D2316B">
              <w:rPr>
                <w:sz w:val="17"/>
                <w:szCs w:val="17"/>
              </w:rPr>
              <w:t>3.2</w:t>
            </w:r>
          </w:p>
        </w:tc>
        <w:tc>
          <w:tcPr>
            <w:tcW w:w="1342" w:type="dxa"/>
            <w:shd w:val="clear" w:color="auto" w:fill="FFFF00"/>
          </w:tcPr>
          <w:p w14:paraId="01B00E2B"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5A1C26B7" w14:textId="77777777" w:rsidR="00270ED4" w:rsidRPr="00E60B0F" w:rsidRDefault="00270ED4" w:rsidP="00270ED4">
            <w:pPr>
              <w:pStyle w:val="tablerow1"/>
              <w:spacing w:before="0" w:after="0"/>
            </w:pPr>
            <w:r w:rsidRPr="008C4970">
              <w:rPr>
                <w:sz w:val="20"/>
              </w:rPr>
              <w:sym w:font="Wingdings 3" w:char="F0C7"/>
            </w:r>
          </w:p>
        </w:tc>
      </w:tr>
      <w:tr w:rsidR="00270ED4" w:rsidRPr="00E60B0F" w14:paraId="13F83EA7" w14:textId="77777777" w:rsidTr="00270ED4">
        <w:trPr>
          <w:jc w:val="center"/>
        </w:trPr>
        <w:tc>
          <w:tcPr>
            <w:tcW w:w="1806" w:type="dxa"/>
            <w:tcBorders>
              <w:left w:val="nil"/>
            </w:tcBorders>
            <w:shd w:val="clear" w:color="auto" w:fill="FFFF00"/>
            <w:vAlign w:val="center"/>
          </w:tcPr>
          <w:p w14:paraId="5776FD3F" w14:textId="77777777" w:rsidR="00270ED4" w:rsidRPr="00D2316B" w:rsidRDefault="00270ED4" w:rsidP="00270ED4">
            <w:pPr>
              <w:pStyle w:val="tablerow1"/>
              <w:spacing w:before="20" w:after="20"/>
              <w:jc w:val="left"/>
              <w:rPr>
                <w:sz w:val="17"/>
                <w:szCs w:val="17"/>
              </w:rPr>
            </w:pPr>
            <w:r w:rsidRPr="00D2316B">
              <w:rPr>
                <w:sz w:val="17"/>
                <w:szCs w:val="17"/>
              </w:rPr>
              <w:t>Kazakhstan</w:t>
            </w:r>
          </w:p>
        </w:tc>
        <w:tc>
          <w:tcPr>
            <w:tcW w:w="1455" w:type="dxa"/>
            <w:shd w:val="clear" w:color="auto" w:fill="FFFF00"/>
            <w:vAlign w:val="center"/>
          </w:tcPr>
          <w:p w14:paraId="0ADE2C3D" w14:textId="77777777" w:rsidR="00270ED4" w:rsidRPr="00D2316B" w:rsidRDefault="00270ED4" w:rsidP="00270ED4">
            <w:pPr>
              <w:pStyle w:val="tablerow1"/>
              <w:spacing w:before="20" w:after="20"/>
              <w:rPr>
                <w:sz w:val="17"/>
                <w:szCs w:val="17"/>
              </w:rPr>
            </w:pPr>
            <w:r w:rsidRPr="00D2316B">
              <w:rPr>
                <w:sz w:val="17"/>
                <w:szCs w:val="17"/>
              </w:rPr>
              <w:t>536</w:t>
            </w:r>
          </w:p>
        </w:tc>
        <w:tc>
          <w:tcPr>
            <w:tcW w:w="1067" w:type="dxa"/>
            <w:shd w:val="clear" w:color="auto" w:fill="FFFF00"/>
            <w:vAlign w:val="center"/>
          </w:tcPr>
          <w:p w14:paraId="0853C52E" w14:textId="77777777" w:rsidR="00270ED4" w:rsidRPr="00D2316B" w:rsidRDefault="00270ED4" w:rsidP="00270ED4">
            <w:pPr>
              <w:pStyle w:val="tablerow1"/>
              <w:spacing w:before="20" w:after="20"/>
              <w:rPr>
                <w:sz w:val="17"/>
                <w:szCs w:val="17"/>
              </w:rPr>
            </w:pPr>
            <w:r w:rsidRPr="00D2316B">
              <w:rPr>
                <w:sz w:val="17"/>
                <w:szCs w:val="17"/>
              </w:rPr>
              <w:t>2.5</w:t>
            </w:r>
          </w:p>
        </w:tc>
        <w:tc>
          <w:tcPr>
            <w:tcW w:w="1342" w:type="dxa"/>
            <w:shd w:val="clear" w:color="auto" w:fill="FFFF00"/>
          </w:tcPr>
          <w:p w14:paraId="10C01EDA"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356C39F5" w14:textId="77777777" w:rsidR="00270ED4" w:rsidRPr="00E60B0F" w:rsidRDefault="00270ED4" w:rsidP="00270ED4">
            <w:pPr>
              <w:pStyle w:val="tablerow1"/>
              <w:spacing w:before="0" w:after="0"/>
            </w:pPr>
            <w:r w:rsidRPr="008C4970">
              <w:rPr>
                <w:sz w:val="20"/>
              </w:rPr>
              <w:sym w:font="Wingdings 3" w:char="F0C7"/>
            </w:r>
          </w:p>
        </w:tc>
      </w:tr>
      <w:tr w:rsidR="00270ED4" w:rsidRPr="00E60B0F" w14:paraId="19414B84" w14:textId="77777777" w:rsidTr="00270ED4">
        <w:trPr>
          <w:jc w:val="center"/>
        </w:trPr>
        <w:tc>
          <w:tcPr>
            <w:tcW w:w="1806" w:type="dxa"/>
            <w:tcBorders>
              <w:left w:val="nil"/>
            </w:tcBorders>
            <w:shd w:val="clear" w:color="auto" w:fill="FFFF00"/>
            <w:vAlign w:val="center"/>
          </w:tcPr>
          <w:p w14:paraId="35884D8F" w14:textId="77777777" w:rsidR="00270ED4" w:rsidRPr="00D2316B" w:rsidRDefault="00270ED4" w:rsidP="00270ED4">
            <w:pPr>
              <w:pStyle w:val="tablerow1"/>
              <w:spacing w:before="20" w:after="20"/>
              <w:jc w:val="left"/>
              <w:rPr>
                <w:sz w:val="17"/>
                <w:szCs w:val="17"/>
              </w:rPr>
            </w:pPr>
            <w:r w:rsidRPr="00D2316B">
              <w:rPr>
                <w:sz w:val="17"/>
                <w:szCs w:val="17"/>
              </w:rPr>
              <w:t>Slovak Republic</w:t>
            </w:r>
          </w:p>
        </w:tc>
        <w:tc>
          <w:tcPr>
            <w:tcW w:w="1455" w:type="dxa"/>
            <w:shd w:val="clear" w:color="auto" w:fill="FFFF00"/>
            <w:vAlign w:val="center"/>
          </w:tcPr>
          <w:p w14:paraId="491425F7" w14:textId="77777777" w:rsidR="00270ED4" w:rsidRPr="00D2316B" w:rsidRDefault="00270ED4" w:rsidP="00270ED4">
            <w:pPr>
              <w:pStyle w:val="tablerow1"/>
              <w:spacing w:before="20" w:after="20"/>
              <w:rPr>
                <w:sz w:val="17"/>
                <w:szCs w:val="17"/>
              </w:rPr>
            </w:pPr>
            <w:r w:rsidRPr="00D2316B">
              <w:rPr>
                <w:sz w:val="17"/>
                <w:szCs w:val="17"/>
              </w:rPr>
              <w:t>535</w:t>
            </w:r>
          </w:p>
        </w:tc>
        <w:tc>
          <w:tcPr>
            <w:tcW w:w="1067" w:type="dxa"/>
            <w:shd w:val="clear" w:color="auto" w:fill="FFFF00"/>
            <w:vAlign w:val="center"/>
          </w:tcPr>
          <w:p w14:paraId="2501455B" w14:textId="77777777" w:rsidR="00270ED4" w:rsidRPr="00D2316B" w:rsidRDefault="00270ED4" w:rsidP="00270ED4">
            <w:pPr>
              <w:pStyle w:val="tablerow1"/>
              <w:spacing w:before="20" w:after="20"/>
              <w:rPr>
                <w:sz w:val="17"/>
                <w:szCs w:val="17"/>
              </w:rPr>
            </w:pPr>
            <w:r w:rsidRPr="00D2316B">
              <w:rPr>
                <w:sz w:val="17"/>
                <w:szCs w:val="17"/>
              </w:rPr>
              <w:t>3.1</w:t>
            </w:r>
          </w:p>
        </w:tc>
        <w:tc>
          <w:tcPr>
            <w:tcW w:w="1342" w:type="dxa"/>
            <w:shd w:val="clear" w:color="auto" w:fill="FFFF00"/>
          </w:tcPr>
          <w:p w14:paraId="3CCE789E"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57F626F4" w14:textId="77777777" w:rsidR="00270ED4" w:rsidRPr="00E60B0F" w:rsidRDefault="00270ED4" w:rsidP="00270ED4">
            <w:pPr>
              <w:pStyle w:val="tablerow1"/>
              <w:spacing w:before="0" w:after="0"/>
            </w:pPr>
            <w:r w:rsidRPr="008C4970">
              <w:rPr>
                <w:sz w:val="20"/>
              </w:rPr>
              <w:sym w:font="Wingdings 3" w:char="F0C7"/>
            </w:r>
          </w:p>
        </w:tc>
      </w:tr>
      <w:tr w:rsidR="00270ED4" w:rsidRPr="00E60B0F" w14:paraId="1EDF73B2" w14:textId="77777777" w:rsidTr="00270ED4">
        <w:trPr>
          <w:jc w:val="center"/>
        </w:trPr>
        <w:tc>
          <w:tcPr>
            <w:tcW w:w="1806" w:type="dxa"/>
            <w:tcBorders>
              <w:left w:val="nil"/>
            </w:tcBorders>
            <w:shd w:val="clear" w:color="auto" w:fill="FFFF00"/>
            <w:vAlign w:val="center"/>
          </w:tcPr>
          <w:p w14:paraId="78FAB781" w14:textId="77777777" w:rsidR="00270ED4" w:rsidRPr="00D2316B" w:rsidRDefault="00270ED4" w:rsidP="00270ED4">
            <w:pPr>
              <w:pStyle w:val="tablerow1"/>
              <w:spacing w:before="20" w:after="20"/>
              <w:jc w:val="left"/>
              <w:rPr>
                <w:sz w:val="17"/>
                <w:szCs w:val="17"/>
              </w:rPr>
            </w:pPr>
            <w:r w:rsidRPr="00D2316B">
              <w:rPr>
                <w:sz w:val="17"/>
                <w:szCs w:val="17"/>
              </w:rPr>
              <w:t>Israel</w:t>
            </w:r>
          </w:p>
        </w:tc>
        <w:tc>
          <w:tcPr>
            <w:tcW w:w="1455" w:type="dxa"/>
            <w:shd w:val="clear" w:color="auto" w:fill="FFFF00"/>
            <w:vAlign w:val="center"/>
          </w:tcPr>
          <w:p w14:paraId="455EC4AD" w14:textId="77777777" w:rsidR="00270ED4" w:rsidRPr="00D2316B" w:rsidRDefault="00270ED4" w:rsidP="00270ED4">
            <w:pPr>
              <w:pStyle w:val="tablerow1"/>
              <w:spacing w:before="20" w:after="20"/>
              <w:rPr>
                <w:sz w:val="17"/>
                <w:szCs w:val="17"/>
              </w:rPr>
            </w:pPr>
            <w:r w:rsidRPr="00D2316B">
              <w:rPr>
                <w:sz w:val="17"/>
                <w:szCs w:val="17"/>
              </w:rPr>
              <w:t>530</w:t>
            </w:r>
          </w:p>
        </w:tc>
        <w:tc>
          <w:tcPr>
            <w:tcW w:w="1067" w:type="dxa"/>
            <w:shd w:val="clear" w:color="auto" w:fill="FFFF00"/>
            <w:vAlign w:val="center"/>
          </w:tcPr>
          <w:p w14:paraId="5FAC0194" w14:textId="77777777" w:rsidR="00270ED4" w:rsidRPr="00D2316B" w:rsidRDefault="00270ED4" w:rsidP="00270ED4">
            <w:pPr>
              <w:pStyle w:val="tablerow1"/>
              <w:spacing w:before="20" w:after="20"/>
              <w:rPr>
                <w:sz w:val="17"/>
                <w:szCs w:val="17"/>
              </w:rPr>
            </w:pPr>
            <w:r w:rsidRPr="00D2316B">
              <w:rPr>
                <w:sz w:val="17"/>
                <w:szCs w:val="17"/>
              </w:rPr>
              <w:t>2.5</w:t>
            </w:r>
          </w:p>
        </w:tc>
        <w:tc>
          <w:tcPr>
            <w:tcW w:w="1342" w:type="dxa"/>
            <w:shd w:val="clear" w:color="auto" w:fill="FFFF00"/>
          </w:tcPr>
          <w:p w14:paraId="64C577B6"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068E5F02" w14:textId="77777777" w:rsidR="00270ED4" w:rsidRPr="00E60B0F" w:rsidRDefault="00270ED4" w:rsidP="00270ED4">
            <w:pPr>
              <w:pStyle w:val="tablerow1"/>
              <w:spacing w:before="0" w:after="0"/>
            </w:pPr>
            <w:r w:rsidRPr="008C4970">
              <w:rPr>
                <w:sz w:val="20"/>
              </w:rPr>
              <w:sym w:font="Wingdings 3" w:char="F0C7"/>
            </w:r>
          </w:p>
        </w:tc>
      </w:tr>
      <w:tr w:rsidR="00270ED4" w:rsidRPr="00E60B0F" w14:paraId="651C187F" w14:textId="77777777" w:rsidTr="00270ED4">
        <w:trPr>
          <w:jc w:val="center"/>
        </w:trPr>
        <w:tc>
          <w:tcPr>
            <w:tcW w:w="1806" w:type="dxa"/>
            <w:tcBorders>
              <w:left w:val="nil"/>
            </w:tcBorders>
            <w:shd w:val="clear" w:color="auto" w:fill="FFFF00"/>
            <w:vAlign w:val="center"/>
          </w:tcPr>
          <w:p w14:paraId="7D662E54" w14:textId="77777777" w:rsidR="00270ED4" w:rsidRPr="00D2316B" w:rsidRDefault="00270ED4" w:rsidP="00270ED4">
            <w:pPr>
              <w:pStyle w:val="tablerow1"/>
              <w:spacing w:before="20" w:after="20"/>
              <w:jc w:val="left"/>
              <w:rPr>
                <w:sz w:val="17"/>
                <w:szCs w:val="17"/>
              </w:rPr>
            </w:pPr>
            <w:r w:rsidRPr="00D2316B">
              <w:rPr>
                <w:sz w:val="17"/>
                <w:szCs w:val="17"/>
              </w:rPr>
              <w:t>Portugal</w:t>
            </w:r>
          </w:p>
        </w:tc>
        <w:tc>
          <w:tcPr>
            <w:tcW w:w="1455" w:type="dxa"/>
            <w:shd w:val="clear" w:color="auto" w:fill="FFFF00"/>
            <w:vAlign w:val="center"/>
          </w:tcPr>
          <w:p w14:paraId="540C5555" w14:textId="77777777" w:rsidR="00270ED4" w:rsidRPr="00D2316B" w:rsidRDefault="00270ED4" w:rsidP="00270ED4">
            <w:pPr>
              <w:pStyle w:val="tablerow1"/>
              <w:spacing w:before="20" w:after="20"/>
              <w:rPr>
                <w:sz w:val="17"/>
                <w:szCs w:val="17"/>
              </w:rPr>
            </w:pPr>
            <w:r w:rsidRPr="00D2316B">
              <w:rPr>
                <w:sz w:val="17"/>
                <w:szCs w:val="17"/>
              </w:rPr>
              <w:t>528</w:t>
            </w:r>
          </w:p>
        </w:tc>
        <w:tc>
          <w:tcPr>
            <w:tcW w:w="1067" w:type="dxa"/>
            <w:shd w:val="clear" w:color="auto" w:fill="FFFF00"/>
            <w:vAlign w:val="center"/>
          </w:tcPr>
          <w:p w14:paraId="783291CA" w14:textId="77777777" w:rsidR="00270ED4" w:rsidRPr="00D2316B" w:rsidRDefault="00270ED4" w:rsidP="00270ED4">
            <w:pPr>
              <w:pStyle w:val="tablerow1"/>
              <w:spacing w:before="20" w:after="20"/>
              <w:rPr>
                <w:sz w:val="17"/>
                <w:szCs w:val="17"/>
              </w:rPr>
            </w:pPr>
            <w:r w:rsidRPr="00D2316B">
              <w:rPr>
                <w:sz w:val="17"/>
                <w:szCs w:val="17"/>
              </w:rPr>
              <w:t>2.3</w:t>
            </w:r>
          </w:p>
        </w:tc>
        <w:tc>
          <w:tcPr>
            <w:tcW w:w="1342" w:type="dxa"/>
            <w:shd w:val="clear" w:color="auto" w:fill="FFFF00"/>
          </w:tcPr>
          <w:p w14:paraId="470FF283"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49D75671" w14:textId="77777777" w:rsidR="00270ED4" w:rsidRPr="00E60B0F" w:rsidRDefault="00270ED4" w:rsidP="00270ED4">
            <w:pPr>
              <w:pStyle w:val="tablerow1"/>
              <w:spacing w:before="0" w:after="0"/>
            </w:pPr>
            <w:r w:rsidRPr="008C4970">
              <w:rPr>
                <w:sz w:val="20"/>
              </w:rPr>
              <w:sym w:font="Wingdings 3" w:char="F0C7"/>
            </w:r>
          </w:p>
        </w:tc>
      </w:tr>
      <w:tr w:rsidR="00270ED4" w:rsidRPr="00E60B0F" w14:paraId="501A553E" w14:textId="77777777" w:rsidTr="00270ED4">
        <w:trPr>
          <w:jc w:val="center"/>
        </w:trPr>
        <w:tc>
          <w:tcPr>
            <w:tcW w:w="1806" w:type="dxa"/>
            <w:tcBorders>
              <w:left w:val="nil"/>
            </w:tcBorders>
            <w:shd w:val="clear" w:color="auto" w:fill="FFFF00"/>
            <w:vAlign w:val="center"/>
          </w:tcPr>
          <w:p w14:paraId="01E4AC1D" w14:textId="77777777" w:rsidR="00270ED4" w:rsidRPr="00D2316B" w:rsidRDefault="00270ED4" w:rsidP="00270ED4">
            <w:pPr>
              <w:pStyle w:val="tablerow1"/>
              <w:spacing w:before="20" w:after="20"/>
              <w:jc w:val="left"/>
              <w:rPr>
                <w:sz w:val="17"/>
                <w:szCs w:val="17"/>
              </w:rPr>
            </w:pPr>
            <w:r w:rsidRPr="00D2316B">
              <w:rPr>
                <w:sz w:val="17"/>
                <w:szCs w:val="17"/>
              </w:rPr>
              <w:t>Spain</w:t>
            </w:r>
          </w:p>
        </w:tc>
        <w:tc>
          <w:tcPr>
            <w:tcW w:w="1455" w:type="dxa"/>
            <w:shd w:val="clear" w:color="auto" w:fill="FFFF00"/>
            <w:vAlign w:val="center"/>
          </w:tcPr>
          <w:p w14:paraId="3CAB7E32" w14:textId="77777777" w:rsidR="00270ED4" w:rsidRPr="00D2316B" w:rsidRDefault="00270ED4" w:rsidP="00270ED4">
            <w:pPr>
              <w:pStyle w:val="tablerow1"/>
              <w:spacing w:before="20" w:after="20"/>
              <w:rPr>
                <w:sz w:val="17"/>
                <w:szCs w:val="17"/>
              </w:rPr>
            </w:pPr>
            <w:r w:rsidRPr="00D2316B">
              <w:rPr>
                <w:sz w:val="17"/>
                <w:szCs w:val="17"/>
              </w:rPr>
              <w:t>528</w:t>
            </w:r>
          </w:p>
        </w:tc>
        <w:tc>
          <w:tcPr>
            <w:tcW w:w="1067" w:type="dxa"/>
            <w:shd w:val="clear" w:color="auto" w:fill="FFFF00"/>
            <w:vAlign w:val="center"/>
          </w:tcPr>
          <w:p w14:paraId="1A151DB5" w14:textId="77777777" w:rsidR="00270ED4" w:rsidRPr="00D2316B" w:rsidRDefault="00270ED4" w:rsidP="00270ED4">
            <w:pPr>
              <w:pStyle w:val="tablerow1"/>
              <w:spacing w:before="20" w:after="20"/>
              <w:rPr>
                <w:sz w:val="17"/>
                <w:szCs w:val="17"/>
              </w:rPr>
            </w:pPr>
            <w:r w:rsidRPr="00D2316B">
              <w:rPr>
                <w:sz w:val="17"/>
                <w:szCs w:val="17"/>
              </w:rPr>
              <w:t>1.7</w:t>
            </w:r>
          </w:p>
        </w:tc>
        <w:tc>
          <w:tcPr>
            <w:tcW w:w="1342" w:type="dxa"/>
            <w:shd w:val="clear" w:color="auto" w:fill="FFFF00"/>
          </w:tcPr>
          <w:p w14:paraId="3721758E"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19A7A965" w14:textId="77777777" w:rsidR="00270ED4" w:rsidRPr="00E60B0F" w:rsidRDefault="00270ED4" w:rsidP="00270ED4">
            <w:pPr>
              <w:pStyle w:val="tablerow1"/>
              <w:spacing w:before="0" w:after="0"/>
            </w:pPr>
            <w:r w:rsidRPr="008C4970">
              <w:rPr>
                <w:sz w:val="20"/>
              </w:rPr>
              <w:sym w:font="Wingdings 3" w:char="F0C7"/>
            </w:r>
          </w:p>
        </w:tc>
      </w:tr>
      <w:tr w:rsidR="00270ED4" w:rsidRPr="00E60B0F" w14:paraId="2001F533" w14:textId="77777777" w:rsidTr="00270ED4">
        <w:trPr>
          <w:jc w:val="center"/>
        </w:trPr>
        <w:tc>
          <w:tcPr>
            <w:tcW w:w="1806" w:type="dxa"/>
            <w:tcBorders>
              <w:left w:val="nil"/>
            </w:tcBorders>
            <w:shd w:val="clear" w:color="auto" w:fill="FFFF00"/>
            <w:vAlign w:val="center"/>
          </w:tcPr>
          <w:p w14:paraId="1D45054A" w14:textId="77777777" w:rsidR="00270ED4" w:rsidRPr="00D2316B" w:rsidRDefault="00270ED4" w:rsidP="00270ED4">
            <w:pPr>
              <w:pStyle w:val="tablerow1"/>
              <w:spacing w:before="20" w:after="20"/>
              <w:jc w:val="left"/>
              <w:rPr>
                <w:sz w:val="17"/>
                <w:szCs w:val="17"/>
              </w:rPr>
            </w:pPr>
            <w:r w:rsidRPr="00D2316B">
              <w:rPr>
                <w:sz w:val="17"/>
                <w:szCs w:val="17"/>
              </w:rPr>
              <w:t>Belgium (Flemish)</w:t>
            </w:r>
          </w:p>
        </w:tc>
        <w:tc>
          <w:tcPr>
            <w:tcW w:w="1455" w:type="dxa"/>
            <w:shd w:val="clear" w:color="auto" w:fill="FFFF00"/>
            <w:vAlign w:val="center"/>
          </w:tcPr>
          <w:p w14:paraId="7BE8B295" w14:textId="77777777" w:rsidR="00270ED4" w:rsidRPr="00D2316B" w:rsidRDefault="00270ED4" w:rsidP="00270ED4">
            <w:pPr>
              <w:pStyle w:val="tablerow1"/>
              <w:spacing w:before="20" w:after="20"/>
              <w:rPr>
                <w:sz w:val="17"/>
                <w:szCs w:val="17"/>
              </w:rPr>
            </w:pPr>
            <w:r w:rsidRPr="00D2316B">
              <w:rPr>
                <w:sz w:val="17"/>
                <w:szCs w:val="17"/>
              </w:rPr>
              <w:t>525</w:t>
            </w:r>
          </w:p>
        </w:tc>
        <w:tc>
          <w:tcPr>
            <w:tcW w:w="1067" w:type="dxa"/>
            <w:shd w:val="clear" w:color="auto" w:fill="FFFF00"/>
            <w:vAlign w:val="center"/>
          </w:tcPr>
          <w:p w14:paraId="29180201" w14:textId="77777777" w:rsidR="00270ED4" w:rsidRPr="00D2316B" w:rsidRDefault="00270ED4" w:rsidP="00270ED4">
            <w:pPr>
              <w:pStyle w:val="tablerow1"/>
              <w:spacing w:before="20" w:after="20"/>
              <w:rPr>
                <w:sz w:val="17"/>
                <w:szCs w:val="17"/>
              </w:rPr>
            </w:pPr>
            <w:r w:rsidRPr="00D2316B">
              <w:rPr>
                <w:sz w:val="17"/>
                <w:szCs w:val="17"/>
              </w:rPr>
              <w:t>1.9</w:t>
            </w:r>
          </w:p>
        </w:tc>
        <w:tc>
          <w:tcPr>
            <w:tcW w:w="1342" w:type="dxa"/>
            <w:shd w:val="clear" w:color="auto" w:fill="FFFF00"/>
          </w:tcPr>
          <w:p w14:paraId="1911AE37"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56554341" w14:textId="77777777" w:rsidR="00270ED4" w:rsidRPr="00E60B0F" w:rsidRDefault="00270ED4" w:rsidP="00270ED4">
            <w:pPr>
              <w:pStyle w:val="tablerow1"/>
              <w:spacing w:before="0" w:after="0"/>
            </w:pPr>
            <w:r w:rsidRPr="008C4970">
              <w:rPr>
                <w:sz w:val="20"/>
              </w:rPr>
              <w:sym w:font="Wingdings 3" w:char="F0C7"/>
            </w:r>
          </w:p>
        </w:tc>
      </w:tr>
      <w:tr w:rsidR="00270ED4" w:rsidRPr="00E60B0F" w14:paraId="75511F79" w14:textId="77777777" w:rsidTr="00270ED4">
        <w:trPr>
          <w:jc w:val="center"/>
        </w:trPr>
        <w:tc>
          <w:tcPr>
            <w:tcW w:w="1806" w:type="dxa"/>
            <w:tcBorders>
              <w:left w:val="nil"/>
            </w:tcBorders>
            <w:shd w:val="clear" w:color="auto" w:fill="FFFF00"/>
            <w:vAlign w:val="center"/>
          </w:tcPr>
          <w:p w14:paraId="06285E2D" w14:textId="77777777" w:rsidR="00270ED4" w:rsidRPr="00D2316B" w:rsidRDefault="00270ED4" w:rsidP="00270ED4">
            <w:pPr>
              <w:pStyle w:val="tablerow1"/>
              <w:spacing w:before="20" w:after="20"/>
              <w:jc w:val="left"/>
              <w:rPr>
                <w:sz w:val="17"/>
                <w:szCs w:val="17"/>
              </w:rPr>
            </w:pPr>
            <w:r w:rsidRPr="00D2316B">
              <w:rPr>
                <w:sz w:val="17"/>
                <w:szCs w:val="17"/>
              </w:rPr>
              <w:t>New Zealand</w:t>
            </w:r>
          </w:p>
        </w:tc>
        <w:tc>
          <w:tcPr>
            <w:tcW w:w="1455" w:type="dxa"/>
            <w:shd w:val="clear" w:color="auto" w:fill="FFFF00"/>
            <w:vAlign w:val="center"/>
          </w:tcPr>
          <w:p w14:paraId="55B1A41C" w14:textId="77777777" w:rsidR="00270ED4" w:rsidRPr="00D2316B" w:rsidRDefault="00270ED4" w:rsidP="00270ED4">
            <w:pPr>
              <w:pStyle w:val="tablerow1"/>
              <w:spacing w:before="20" w:after="20"/>
              <w:rPr>
                <w:sz w:val="17"/>
                <w:szCs w:val="17"/>
              </w:rPr>
            </w:pPr>
            <w:r w:rsidRPr="00D2316B">
              <w:rPr>
                <w:sz w:val="17"/>
                <w:szCs w:val="17"/>
              </w:rPr>
              <w:t>523</w:t>
            </w:r>
          </w:p>
        </w:tc>
        <w:tc>
          <w:tcPr>
            <w:tcW w:w="1067" w:type="dxa"/>
            <w:shd w:val="clear" w:color="auto" w:fill="FFFF00"/>
            <w:vAlign w:val="center"/>
          </w:tcPr>
          <w:p w14:paraId="1AF1B61E" w14:textId="77777777" w:rsidR="00270ED4" w:rsidRPr="00D2316B" w:rsidRDefault="00270ED4" w:rsidP="00270ED4">
            <w:pPr>
              <w:pStyle w:val="tablerow1"/>
              <w:spacing w:before="20" w:after="20"/>
              <w:rPr>
                <w:sz w:val="17"/>
                <w:szCs w:val="17"/>
              </w:rPr>
            </w:pPr>
            <w:r w:rsidRPr="00D2316B">
              <w:rPr>
                <w:sz w:val="17"/>
                <w:szCs w:val="17"/>
              </w:rPr>
              <w:t>2.2</w:t>
            </w:r>
          </w:p>
        </w:tc>
        <w:tc>
          <w:tcPr>
            <w:tcW w:w="1342" w:type="dxa"/>
            <w:shd w:val="clear" w:color="auto" w:fill="FFFF00"/>
          </w:tcPr>
          <w:p w14:paraId="45E45E9C"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650E6BF9" w14:textId="77777777" w:rsidR="00270ED4" w:rsidRPr="00E60B0F" w:rsidRDefault="00270ED4" w:rsidP="00270ED4">
            <w:pPr>
              <w:pStyle w:val="tablerow1"/>
              <w:spacing w:before="0" w:after="0"/>
            </w:pPr>
            <w:r w:rsidRPr="008C4970">
              <w:rPr>
                <w:sz w:val="20"/>
              </w:rPr>
              <w:sym w:font="Wingdings 3" w:char="F0C7"/>
            </w:r>
          </w:p>
        </w:tc>
      </w:tr>
      <w:tr w:rsidR="00270ED4" w:rsidRPr="00E60B0F" w14:paraId="3A096D12" w14:textId="77777777" w:rsidTr="00270ED4">
        <w:trPr>
          <w:jc w:val="center"/>
        </w:trPr>
        <w:tc>
          <w:tcPr>
            <w:tcW w:w="1806" w:type="dxa"/>
            <w:tcBorders>
              <w:left w:val="nil"/>
            </w:tcBorders>
            <w:shd w:val="clear" w:color="auto" w:fill="FFFF00"/>
            <w:vAlign w:val="center"/>
          </w:tcPr>
          <w:p w14:paraId="44315400" w14:textId="77777777" w:rsidR="00270ED4" w:rsidRPr="00D2316B" w:rsidRDefault="00270ED4" w:rsidP="00270ED4">
            <w:pPr>
              <w:pStyle w:val="tablerow1"/>
              <w:spacing w:before="20" w:after="20"/>
              <w:jc w:val="left"/>
              <w:rPr>
                <w:sz w:val="17"/>
                <w:szCs w:val="17"/>
              </w:rPr>
            </w:pPr>
            <w:r w:rsidRPr="00D2316B">
              <w:rPr>
                <w:sz w:val="17"/>
                <w:szCs w:val="17"/>
              </w:rPr>
              <w:t>France</w:t>
            </w:r>
          </w:p>
        </w:tc>
        <w:tc>
          <w:tcPr>
            <w:tcW w:w="1455" w:type="dxa"/>
            <w:shd w:val="clear" w:color="auto" w:fill="FFFF00"/>
            <w:vAlign w:val="center"/>
          </w:tcPr>
          <w:p w14:paraId="33706555" w14:textId="77777777" w:rsidR="00270ED4" w:rsidRPr="00D2316B" w:rsidRDefault="00270ED4" w:rsidP="00270ED4">
            <w:pPr>
              <w:pStyle w:val="tablerow1"/>
              <w:spacing w:before="20" w:after="20"/>
              <w:rPr>
                <w:sz w:val="17"/>
                <w:szCs w:val="17"/>
              </w:rPr>
            </w:pPr>
            <w:r w:rsidRPr="00D2316B">
              <w:rPr>
                <w:sz w:val="17"/>
                <w:szCs w:val="17"/>
              </w:rPr>
              <w:t>511</w:t>
            </w:r>
          </w:p>
        </w:tc>
        <w:tc>
          <w:tcPr>
            <w:tcW w:w="1067" w:type="dxa"/>
            <w:shd w:val="clear" w:color="auto" w:fill="FFFF00"/>
            <w:vAlign w:val="center"/>
          </w:tcPr>
          <w:p w14:paraId="79EC45D7" w14:textId="77777777" w:rsidR="00270ED4" w:rsidRPr="00D2316B" w:rsidRDefault="00270ED4" w:rsidP="00270ED4">
            <w:pPr>
              <w:pStyle w:val="tablerow1"/>
              <w:spacing w:before="20" w:after="20"/>
              <w:rPr>
                <w:sz w:val="17"/>
                <w:szCs w:val="17"/>
              </w:rPr>
            </w:pPr>
            <w:r w:rsidRPr="00D2316B">
              <w:rPr>
                <w:sz w:val="17"/>
                <w:szCs w:val="17"/>
              </w:rPr>
              <w:t>2.2</w:t>
            </w:r>
          </w:p>
        </w:tc>
        <w:tc>
          <w:tcPr>
            <w:tcW w:w="1342" w:type="dxa"/>
            <w:shd w:val="clear" w:color="auto" w:fill="FFFF00"/>
          </w:tcPr>
          <w:p w14:paraId="784052BF"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56B35D26" w14:textId="77777777" w:rsidR="00270ED4" w:rsidRPr="00E60B0F" w:rsidRDefault="00270ED4" w:rsidP="00270ED4">
            <w:pPr>
              <w:pStyle w:val="tablerow1"/>
              <w:spacing w:before="0" w:after="0"/>
            </w:pPr>
            <w:r w:rsidRPr="008C4970">
              <w:rPr>
                <w:sz w:val="20"/>
              </w:rPr>
              <w:sym w:font="Wingdings 3" w:char="F0C7"/>
            </w:r>
          </w:p>
        </w:tc>
      </w:tr>
      <w:tr w:rsidR="00270ED4" w:rsidRPr="00E60B0F" w14:paraId="1DAAEE96" w14:textId="77777777" w:rsidTr="00270ED4">
        <w:trPr>
          <w:jc w:val="center"/>
        </w:trPr>
        <w:tc>
          <w:tcPr>
            <w:tcW w:w="1806" w:type="dxa"/>
            <w:tcBorders>
              <w:left w:val="nil"/>
            </w:tcBorders>
            <w:shd w:val="clear" w:color="auto" w:fill="FFFF00"/>
            <w:vAlign w:val="center"/>
          </w:tcPr>
          <w:p w14:paraId="16AA2575" w14:textId="77777777" w:rsidR="00270ED4" w:rsidRPr="00D2316B" w:rsidRDefault="00270ED4" w:rsidP="00270ED4">
            <w:pPr>
              <w:pStyle w:val="tablerow1"/>
              <w:spacing w:before="20" w:after="20"/>
              <w:jc w:val="left"/>
              <w:rPr>
                <w:sz w:val="17"/>
                <w:szCs w:val="17"/>
              </w:rPr>
            </w:pPr>
            <w:r w:rsidRPr="00D2316B">
              <w:rPr>
                <w:sz w:val="17"/>
                <w:szCs w:val="17"/>
              </w:rPr>
              <w:t>Belgium (French)</w:t>
            </w:r>
          </w:p>
        </w:tc>
        <w:tc>
          <w:tcPr>
            <w:tcW w:w="1455" w:type="dxa"/>
            <w:shd w:val="clear" w:color="auto" w:fill="FFFF00"/>
            <w:vAlign w:val="center"/>
          </w:tcPr>
          <w:p w14:paraId="186BABC9" w14:textId="77777777" w:rsidR="00270ED4" w:rsidRPr="00D2316B" w:rsidRDefault="00270ED4" w:rsidP="00270ED4">
            <w:pPr>
              <w:pStyle w:val="tablerow1"/>
              <w:spacing w:before="20" w:after="20"/>
              <w:rPr>
                <w:sz w:val="17"/>
                <w:szCs w:val="17"/>
              </w:rPr>
            </w:pPr>
            <w:r w:rsidRPr="00D2316B">
              <w:rPr>
                <w:sz w:val="17"/>
                <w:szCs w:val="17"/>
              </w:rPr>
              <w:t>497</w:t>
            </w:r>
          </w:p>
        </w:tc>
        <w:tc>
          <w:tcPr>
            <w:tcW w:w="1067" w:type="dxa"/>
            <w:shd w:val="clear" w:color="auto" w:fill="FFFF00"/>
            <w:vAlign w:val="center"/>
          </w:tcPr>
          <w:p w14:paraId="75A9ECEC" w14:textId="77777777" w:rsidR="00270ED4" w:rsidRPr="00D2316B" w:rsidRDefault="00270ED4" w:rsidP="00270ED4">
            <w:pPr>
              <w:pStyle w:val="tablerow1"/>
              <w:spacing w:before="20" w:after="20"/>
              <w:rPr>
                <w:sz w:val="17"/>
                <w:szCs w:val="17"/>
              </w:rPr>
            </w:pPr>
            <w:r w:rsidRPr="00D2316B">
              <w:rPr>
                <w:sz w:val="17"/>
                <w:szCs w:val="17"/>
              </w:rPr>
              <w:t>2.6</w:t>
            </w:r>
          </w:p>
        </w:tc>
        <w:tc>
          <w:tcPr>
            <w:tcW w:w="1342" w:type="dxa"/>
            <w:shd w:val="clear" w:color="auto" w:fill="FFFF00"/>
          </w:tcPr>
          <w:p w14:paraId="12F30EB3" w14:textId="77777777" w:rsidR="00270ED4" w:rsidRPr="004B4BA9" w:rsidRDefault="00270ED4" w:rsidP="00270ED4">
            <w:pPr>
              <w:pStyle w:val="tablerow1"/>
              <w:spacing w:before="0" w:after="0"/>
              <w:rPr>
                <w:b/>
                <w:sz w:val="20"/>
              </w:rPr>
            </w:pPr>
            <w:r w:rsidRPr="007F6ED1">
              <w:rPr>
                <w:szCs w:val="18"/>
              </w:rPr>
              <w:t>Lower</w:t>
            </w:r>
          </w:p>
        </w:tc>
        <w:tc>
          <w:tcPr>
            <w:tcW w:w="1426" w:type="dxa"/>
            <w:tcBorders>
              <w:right w:val="nil"/>
            </w:tcBorders>
            <w:shd w:val="clear" w:color="auto" w:fill="FFFF00"/>
          </w:tcPr>
          <w:p w14:paraId="1187B156" w14:textId="77777777" w:rsidR="00270ED4" w:rsidRPr="00E60B0F" w:rsidRDefault="00270ED4" w:rsidP="00270ED4">
            <w:pPr>
              <w:pStyle w:val="tablerow1"/>
              <w:spacing w:before="0" w:after="0"/>
            </w:pPr>
            <w:r w:rsidRPr="004B4BA9">
              <w:rPr>
                <w:b/>
                <w:sz w:val="20"/>
              </w:rPr>
              <w:sym w:font="Wingdings 3" w:char="F031"/>
            </w:r>
          </w:p>
        </w:tc>
      </w:tr>
      <w:tr w:rsidR="00270ED4" w:rsidRPr="00E60B0F" w14:paraId="0FE19BB0" w14:textId="77777777" w:rsidTr="00270ED4">
        <w:trPr>
          <w:jc w:val="center"/>
        </w:trPr>
        <w:tc>
          <w:tcPr>
            <w:tcW w:w="1806" w:type="dxa"/>
            <w:tcBorders>
              <w:left w:val="nil"/>
            </w:tcBorders>
            <w:shd w:val="clear" w:color="auto" w:fill="FFFF00"/>
            <w:vAlign w:val="center"/>
          </w:tcPr>
          <w:p w14:paraId="418FA8C3" w14:textId="77777777" w:rsidR="00270ED4" w:rsidRPr="00D2316B" w:rsidRDefault="00270ED4" w:rsidP="00270ED4">
            <w:pPr>
              <w:pStyle w:val="tablerow1"/>
              <w:spacing w:before="20" w:after="20"/>
              <w:jc w:val="left"/>
              <w:rPr>
                <w:sz w:val="17"/>
                <w:szCs w:val="17"/>
              </w:rPr>
            </w:pPr>
            <w:r w:rsidRPr="00D2316B">
              <w:rPr>
                <w:sz w:val="17"/>
                <w:szCs w:val="17"/>
              </w:rPr>
              <w:t>Chile</w:t>
            </w:r>
          </w:p>
        </w:tc>
        <w:tc>
          <w:tcPr>
            <w:tcW w:w="1455" w:type="dxa"/>
            <w:shd w:val="clear" w:color="auto" w:fill="FFFF00"/>
            <w:vAlign w:val="center"/>
          </w:tcPr>
          <w:p w14:paraId="3F4A2A7D" w14:textId="77777777" w:rsidR="00270ED4" w:rsidRPr="00D2316B" w:rsidRDefault="00270ED4" w:rsidP="00270ED4">
            <w:pPr>
              <w:pStyle w:val="tablerow1"/>
              <w:spacing w:before="20" w:after="20"/>
              <w:rPr>
                <w:sz w:val="17"/>
                <w:szCs w:val="17"/>
              </w:rPr>
            </w:pPr>
            <w:r w:rsidRPr="00D2316B">
              <w:rPr>
                <w:sz w:val="17"/>
                <w:szCs w:val="17"/>
              </w:rPr>
              <w:t>494</w:t>
            </w:r>
          </w:p>
        </w:tc>
        <w:tc>
          <w:tcPr>
            <w:tcW w:w="1067" w:type="dxa"/>
            <w:shd w:val="clear" w:color="auto" w:fill="FFFF00"/>
            <w:vAlign w:val="center"/>
          </w:tcPr>
          <w:p w14:paraId="1B4CDB99" w14:textId="77777777" w:rsidR="00270ED4" w:rsidRPr="00D2316B" w:rsidRDefault="00270ED4" w:rsidP="00270ED4">
            <w:pPr>
              <w:pStyle w:val="tablerow1"/>
              <w:spacing w:before="20" w:after="20"/>
              <w:rPr>
                <w:sz w:val="17"/>
                <w:szCs w:val="17"/>
              </w:rPr>
            </w:pPr>
            <w:r w:rsidRPr="00D2316B">
              <w:rPr>
                <w:sz w:val="17"/>
                <w:szCs w:val="17"/>
              </w:rPr>
              <w:t>2.5</w:t>
            </w:r>
          </w:p>
        </w:tc>
        <w:tc>
          <w:tcPr>
            <w:tcW w:w="1342" w:type="dxa"/>
            <w:shd w:val="clear" w:color="auto" w:fill="FFFF00"/>
          </w:tcPr>
          <w:p w14:paraId="6E913C6B"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54C7CBC8" w14:textId="77777777" w:rsidR="00270ED4" w:rsidRPr="00E60B0F" w:rsidRDefault="00270ED4" w:rsidP="00270ED4">
            <w:pPr>
              <w:pStyle w:val="tablerow1"/>
              <w:spacing w:before="0" w:after="0"/>
            </w:pPr>
            <w:r w:rsidRPr="008C4970">
              <w:rPr>
                <w:sz w:val="20"/>
              </w:rPr>
              <w:sym w:font="Wingdings 3" w:char="F0C8"/>
            </w:r>
          </w:p>
        </w:tc>
      </w:tr>
      <w:tr w:rsidR="00270ED4" w:rsidRPr="00E60B0F" w14:paraId="2D156287" w14:textId="77777777" w:rsidTr="00270ED4">
        <w:trPr>
          <w:jc w:val="center"/>
        </w:trPr>
        <w:tc>
          <w:tcPr>
            <w:tcW w:w="1806" w:type="dxa"/>
            <w:tcBorders>
              <w:left w:val="nil"/>
            </w:tcBorders>
            <w:shd w:val="clear" w:color="auto" w:fill="FFFF00"/>
            <w:vAlign w:val="center"/>
          </w:tcPr>
          <w:p w14:paraId="5D1E7538" w14:textId="77777777" w:rsidR="00270ED4" w:rsidRPr="00D2316B" w:rsidRDefault="00270ED4" w:rsidP="00270ED4">
            <w:pPr>
              <w:pStyle w:val="tablerow1"/>
              <w:spacing w:before="20" w:after="20"/>
              <w:jc w:val="left"/>
              <w:rPr>
                <w:sz w:val="17"/>
                <w:szCs w:val="17"/>
              </w:rPr>
            </w:pPr>
            <w:r w:rsidRPr="00D2316B">
              <w:rPr>
                <w:sz w:val="17"/>
                <w:szCs w:val="17"/>
              </w:rPr>
              <w:t>Georgia</w:t>
            </w:r>
          </w:p>
        </w:tc>
        <w:tc>
          <w:tcPr>
            <w:tcW w:w="1455" w:type="dxa"/>
            <w:shd w:val="clear" w:color="auto" w:fill="FFFF00"/>
            <w:vAlign w:val="center"/>
          </w:tcPr>
          <w:p w14:paraId="7483CDB7" w14:textId="77777777" w:rsidR="00270ED4" w:rsidRPr="00D2316B" w:rsidRDefault="00270ED4" w:rsidP="00270ED4">
            <w:pPr>
              <w:pStyle w:val="tablerow1"/>
              <w:spacing w:before="20" w:after="20"/>
              <w:rPr>
                <w:sz w:val="17"/>
                <w:szCs w:val="17"/>
              </w:rPr>
            </w:pPr>
            <w:r w:rsidRPr="00D2316B">
              <w:rPr>
                <w:sz w:val="17"/>
                <w:szCs w:val="17"/>
              </w:rPr>
              <w:t>488</w:t>
            </w:r>
          </w:p>
        </w:tc>
        <w:tc>
          <w:tcPr>
            <w:tcW w:w="1067" w:type="dxa"/>
            <w:shd w:val="clear" w:color="auto" w:fill="FFFF00"/>
            <w:vAlign w:val="center"/>
          </w:tcPr>
          <w:p w14:paraId="7F77E6A7" w14:textId="77777777" w:rsidR="00270ED4" w:rsidRPr="00D2316B" w:rsidRDefault="00270ED4" w:rsidP="00270ED4">
            <w:pPr>
              <w:pStyle w:val="tablerow1"/>
              <w:spacing w:before="20" w:after="20"/>
              <w:rPr>
                <w:sz w:val="17"/>
                <w:szCs w:val="17"/>
              </w:rPr>
            </w:pPr>
            <w:r w:rsidRPr="00D2316B">
              <w:rPr>
                <w:sz w:val="17"/>
                <w:szCs w:val="17"/>
              </w:rPr>
              <w:t>2.8</w:t>
            </w:r>
          </w:p>
        </w:tc>
        <w:tc>
          <w:tcPr>
            <w:tcW w:w="1342" w:type="dxa"/>
            <w:shd w:val="clear" w:color="auto" w:fill="FFFF00"/>
          </w:tcPr>
          <w:p w14:paraId="35D89A91"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51AE76EE" w14:textId="77777777" w:rsidR="00270ED4" w:rsidRPr="00E60B0F" w:rsidRDefault="00270ED4" w:rsidP="00270ED4">
            <w:pPr>
              <w:pStyle w:val="tablerow1"/>
              <w:spacing w:before="0" w:after="0"/>
            </w:pPr>
            <w:r w:rsidRPr="008C4970">
              <w:rPr>
                <w:sz w:val="20"/>
              </w:rPr>
              <w:sym w:font="Wingdings 3" w:char="F0C8"/>
            </w:r>
          </w:p>
        </w:tc>
      </w:tr>
      <w:tr w:rsidR="00270ED4" w:rsidRPr="00E60B0F" w14:paraId="5207723A" w14:textId="77777777" w:rsidTr="00270ED4">
        <w:trPr>
          <w:jc w:val="center"/>
        </w:trPr>
        <w:tc>
          <w:tcPr>
            <w:tcW w:w="1806" w:type="dxa"/>
            <w:tcBorders>
              <w:left w:val="nil"/>
            </w:tcBorders>
            <w:shd w:val="clear" w:color="auto" w:fill="FFFF00"/>
            <w:vAlign w:val="center"/>
          </w:tcPr>
          <w:p w14:paraId="28719542" w14:textId="77777777" w:rsidR="00270ED4" w:rsidRPr="00D2316B" w:rsidRDefault="00270ED4" w:rsidP="00270ED4">
            <w:pPr>
              <w:pStyle w:val="tablerow1"/>
              <w:spacing w:before="20" w:after="20"/>
              <w:jc w:val="left"/>
              <w:rPr>
                <w:sz w:val="17"/>
                <w:szCs w:val="17"/>
              </w:rPr>
            </w:pPr>
            <w:r w:rsidRPr="00D2316B">
              <w:rPr>
                <w:sz w:val="17"/>
                <w:szCs w:val="17"/>
              </w:rPr>
              <w:t>Trinidad and Tobago</w:t>
            </w:r>
          </w:p>
        </w:tc>
        <w:tc>
          <w:tcPr>
            <w:tcW w:w="1455" w:type="dxa"/>
            <w:shd w:val="clear" w:color="auto" w:fill="FFFF00"/>
            <w:vAlign w:val="center"/>
          </w:tcPr>
          <w:p w14:paraId="2877D201" w14:textId="77777777" w:rsidR="00270ED4" w:rsidRPr="00D2316B" w:rsidRDefault="00270ED4" w:rsidP="00270ED4">
            <w:pPr>
              <w:pStyle w:val="tablerow1"/>
              <w:spacing w:before="20" w:after="20"/>
              <w:rPr>
                <w:sz w:val="17"/>
                <w:szCs w:val="17"/>
              </w:rPr>
            </w:pPr>
            <w:r w:rsidRPr="00D2316B">
              <w:rPr>
                <w:sz w:val="17"/>
                <w:szCs w:val="17"/>
              </w:rPr>
              <w:t>479</w:t>
            </w:r>
          </w:p>
        </w:tc>
        <w:tc>
          <w:tcPr>
            <w:tcW w:w="1067" w:type="dxa"/>
            <w:shd w:val="clear" w:color="auto" w:fill="FFFF00"/>
            <w:vAlign w:val="center"/>
          </w:tcPr>
          <w:p w14:paraId="17C03FB7" w14:textId="77777777" w:rsidR="00270ED4" w:rsidRPr="00D2316B" w:rsidRDefault="00270ED4" w:rsidP="00270ED4">
            <w:pPr>
              <w:pStyle w:val="tablerow1"/>
              <w:spacing w:before="20" w:after="20"/>
              <w:rPr>
                <w:sz w:val="17"/>
                <w:szCs w:val="17"/>
              </w:rPr>
            </w:pPr>
            <w:r w:rsidRPr="00D2316B">
              <w:rPr>
                <w:sz w:val="17"/>
                <w:szCs w:val="17"/>
              </w:rPr>
              <w:t>3.3</w:t>
            </w:r>
          </w:p>
        </w:tc>
        <w:tc>
          <w:tcPr>
            <w:tcW w:w="1342" w:type="dxa"/>
            <w:shd w:val="clear" w:color="auto" w:fill="FFFF00"/>
          </w:tcPr>
          <w:p w14:paraId="455910AB"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04E14B03" w14:textId="77777777" w:rsidR="00270ED4" w:rsidRPr="00E60B0F" w:rsidRDefault="00270ED4" w:rsidP="00270ED4">
            <w:pPr>
              <w:pStyle w:val="tablerow1"/>
              <w:spacing w:before="0" w:after="0"/>
            </w:pPr>
            <w:r w:rsidRPr="008C4970">
              <w:rPr>
                <w:sz w:val="20"/>
              </w:rPr>
              <w:sym w:font="Wingdings 3" w:char="F0C8"/>
            </w:r>
          </w:p>
        </w:tc>
      </w:tr>
      <w:tr w:rsidR="00270ED4" w:rsidRPr="00E60B0F" w14:paraId="008A99F2" w14:textId="77777777" w:rsidTr="00270ED4">
        <w:trPr>
          <w:jc w:val="center"/>
        </w:trPr>
        <w:tc>
          <w:tcPr>
            <w:tcW w:w="1806" w:type="dxa"/>
            <w:tcBorders>
              <w:left w:val="nil"/>
            </w:tcBorders>
            <w:shd w:val="clear" w:color="auto" w:fill="FFFF00"/>
            <w:vAlign w:val="center"/>
          </w:tcPr>
          <w:p w14:paraId="02B6077F" w14:textId="77777777" w:rsidR="00270ED4" w:rsidRPr="00D2316B" w:rsidRDefault="00270ED4" w:rsidP="00270ED4">
            <w:pPr>
              <w:pStyle w:val="tablerow1"/>
              <w:spacing w:before="20" w:after="20"/>
              <w:jc w:val="left"/>
              <w:rPr>
                <w:sz w:val="17"/>
                <w:szCs w:val="17"/>
              </w:rPr>
            </w:pPr>
            <w:r w:rsidRPr="00D2316B">
              <w:rPr>
                <w:sz w:val="17"/>
                <w:szCs w:val="17"/>
              </w:rPr>
              <w:t>Azerbaijan</w:t>
            </w:r>
          </w:p>
        </w:tc>
        <w:tc>
          <w:tcPr>
            <w:tcW w:w="1455" w:type="dxa"/>
            <w:shd w:val="clear" w:color="auto" w:fill="FFFF00"/>
            <w:vAlign w:val="center"/>
          </w:tcPr>
          <w:p w14:paraId="1C4A403F" w14:textId="77777777" w:rsidR="00270ED4" w:rsidRPr="00D2316B" w:rsidRDefault="00270ED4" w:rsidP="00270ED4">
            <w:pPr>
              <w:pStyle w:val="tablerow1"/>
              <w:spacing w:before="20" w:after="20"/>
              <w:rPr>
                <w:sz w:val="17"/>
                <w:szCs w:val="17"/>
              </w:rPr>
            </w:pPr>
            <w:r w:rsidRPr="00D2316B">
              <w:rPr>
                <w:sz w:val="17"/>
                <w:szCs w:val="17"/>
              </w:rPr>
              <w:t>472</w:t>
            </w:r>
          </w:p>
        </w:tc>
        <w:tc>
          <w:tcPr>
            <w:tcW w:w="1067" w:type="dxa"/>
            <w:shd w:val="clear" w:color="auto" w:fill="FFFF00"/>
            <w:vAlign w:val="center"/>
          </w:tcPr>
          <w:p w14:paraId="678F71B3" w14:textId="77777777" w:rsidR="00270ED4" w:rsidRPr="00D2316B" w:rsidRDefault="00270ED4" w:rsidP="00270ED4">
            <w:pPr>
              <w:pStyle w:val="tablerow1"/>
              <w:spacing w:before="20" w:after="20"/>
              <w:rPr>
                <w:sz w:val="17"/>
                <w:szCs w:val="17"/>
              </w:rPr>
            </w:pPr>
            <w:r w:rsidRPr="00D2316B">
              <w:rPr>
                <w:sz w:val="17"/>
                <w:szCs w:val="17"/>
              </w:rPr>
              <w:t>4.2</w:t>
            </w:r>
          </w:p>
        </w:tc>
        <w:tc>
          <w:tcPr>
            <w:tcW w:w="1342" w:type="dxa"/>
            <w:shd w:val="clear" w:color="auto" w:fill="FFFF00"/>
          </w:tcPr>
          <w:p w14:paraId="0509D572"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654E1BBA" w14:textId="77777777" w:rsidR="00270ED4" w:rsidRPr="00E60B0F" w:rsidRDefault="00270ED4" w:rsidP="00270ED4">
            <w:pPr>
              <w:pStyle w:val="tablerow1"/>
              <w:spacing w:before="0" w:after="0"/>
            </w:pPr>
            <w:r w:rsidRPr="008C4970">
              <w:rPr>
                <w:sz w:val="20"/>
              </w:rPr>
              <w:sym w:font="Wingdings 3" w:char="F0C8"/>
            </w:r>
          </w:p>
        </w:tc>
      </w:tr>
      <w:tr w:rsidR="00270ED4" w:rsidRPr="00E60B0F" w14:paraId="4C55FD7B" w14:textId="77777777" w:rsidTr="00270ED4">
        <w:trPr>
          <w:jc w:val="center"/>
        </w:trPr>
        <w:tc>
          <w:tcPr>
            <w:tcW w:w="1806" w:type="dxa"/>
            <w:tcBorders>
              <w:left w:val="nil"/>
            </w:tcBorders>
            <w:shd w:val="clear" w:color="auto" w:fill="FFFF00"/>
            <w:vAlign w:val="center"/>
          </w:tcPr>
          <w:p w14:paraId="6040978D" w14:textId="77777777" w:rsidR="00270ED4" w:rsidRPr="00D2316B" w:rsidRDefault="00270ED4" w:rsidP="00270ED4">
            <w:pPr>
              <w:pStyle w:val="tablerow1"/>
              <w:spacing w:before="20" w:after="20"/>
              <w:jc w:val="left"/>
              <w:rPr>
                <w:sz w:val="17"/>
                <w:szCs w:val="17"/>
              </w:rPr>
            </w:pPr>
            <w:r w:rsidRPr="00D2316B">
              <w:rPr>
                <w:sz w:val="17"/>
                <w:szCs w:val="17"/>
              </w:rPr>
              <w:t xml:space="preserve">Malta </w:t>
            </w:r>
          </w:p>
        </w:tc>
        <w:tc>
          <w:tcPr>
            <w:tcW w:w="1455" w:type="dxa"/>
            <w:shd w:val="clear" w:color="auto" w:fill="FFFF00"/>
            <w:vAlign w:val="center"/>
          </w:tcPr>
          <w:p w14:paraId="2902F6BC" w14:textId="77777777" w:rsidR="00270ED4" w:rsidRPr="00D2316B" w:rsidRDefault="00270ED4" w:rsidP="00270ED4">
            <w:pPr>
              <w:pStyle w:val="tablerow1"/>
              <w:spacing w:before="20" w:after="20"/>
              <w:rPr>
                <w:sz w:val="17"/>
                <w:szCs w:val="17"/>
              </w:rPr>
            </w:pPr>
            <w:r w:rsidRPr="00D2316B">
              <w:rPr>
                <w:sz w:val="17"/>
                <w:szCs w:val="17"/>
              </w:rPr>
              <w:t>452</w:t>
            </w:r>
          </w:p>
        </w:tc>
        <w:tc>
          <w:tcPr>
            <w:tcW w:w="1067" w:type="dxa"/>
            <w:shd w:val="clear" w:color="auto" w:fill="FFFF00"/>
            <w:vAlign w:val="center"/>
          </w:tcPr>
          <w:p w14:paraId="71C0488F" w14:textId="77777777" w:rsidR="00270ED4" w:rsidRPr="00D2316B" w:rsidRDefault="00270ED4" w:rsidP="00270ED4">
            <w:pPr>
              <w:pStyle w:val="tablerow1"/>
              <w:spacing w:before="20" w:after="20"/>
              <w:rPr>
                <w:sz w:val="17"/>
                <w:szCs w:val="17"/>
              </w:rPr>
            </w:pPr>
            <w:r w:rsidRPr="00D2316B">
              <w:rPr>
                <w:sz w:val="17"/>
                <w:szCs w:val="17"/>
              </w:rPr>
              <w:t>1.8</w:t>
            </w:r>
          </w:p>
        </w:tc>
        <w:tc>
          <w:tcPr>
            <w:tcW w:w="1342" w:type="dxa"/>
            <w:shd w:val="clear" w:color="auto" w:fill="FFFF00"/>
          </w:tcPr>
          <w:p w14:paraId="78AC93FA"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0FB5CBBE" w14:textId="77777777" w:rsidR="00270ED4" w:rsidRPr="00E60B0F" w:rsidRDefault="00270ED4" w:rsidP="00270ED4">
            <w:pPr>
              <w:pStyle w:val="tablerow1"/>
              <w:spacing w:before="0" w:after="0"/>
            </w:pPr>
            <w:r w:rsidRPr="008C4970">
              <w:rPr>
                <w:sz w:val="20"/>
              </w:rPr>
              <w:sym w:font="Wingdings 3" w:char="F0C8"/>
            </w:r>
          </w:p>
        </w:tc>
      </w:tr>
      <w:tr w:rsidR="00270ED4" w:rsidRPr="00E60B0F" w14:paraId="2C832CF7" w14:textId="77777777" w:rsidTr="00270ED4">
        <w:trPr>
          <w:jc w:val="center"/>
        </w:trPr>
        <w:tc>
          <w:tcPr>
            <w:tcW w:w="1806" w:type="dxa"/>
            <w:tcBorders>
              <w:left w:val="nil"/>
            </w:tcBorders>
            <w:shd w:val="clear" w:color="auto" w:fill="FFFF00"/>
            <w:vAlign w:val="center"/>
          </w:tcPr>
          <w:p w14:paraId="19EA4023" w14:textId="77777777" w:rsidR="00270ED4" w:rsidRPr="00D2316B" w:rsidRDefault="00270ED4" w:rsidP="00270ED4">
            <w:pPr>
              <w:pStyle w:val="tablerow1"/>
              <w:spacing w:before="20" w:after="20"/>
              <w:jc w:val="left"/>
              <w:rPr>
                <w:sz w:val="17"/>
                <w:szCs w:val="17"/>
              </w:rPr>
            </w:pPr>
            <w:r w:rsidRPr="00D2316B">
              <w:rPr>
                <w:sz w:val="17"/>
                <w:szCs w:val="17"/>
              </w:rPr>
              <w:t>United Arab Emirates</w:t>
            </w:r>
          </w:p>
        </w:tc>
        <w:tc>
          <w:tcPr>
            <w:tcW w:w="1455" w:type="dxa"/>
            <w:shd w:val="clear" w:color="auto" w:fill="FFFF00"/>
            <w:vAlign w:val="center"/>
          </w:tcPr>
          <w:p w14:paraId="4AAB3A22" w14:textId="77777777" w:rsidR="00270ED4" w:rsidRPr="00D2316B" w:rsidRDefault="00270ED4" w:rsidP="00270ED4">
            <w:pPr>
              <w:pStyle w:val="tablerow1"/>
              <w:spacing w:before="20" w:after="20"/>
              <w:rPr>
                <w:sz w:val="17"/>
                <w:szCs w:val="17"/>
              </w:rPr>
            </w:pPr>
            <w:r w:rsidRPr="00D2316B">
              <w:rPr>
                <w:sz w:val="17"/>
                <w:szCs w:val="17"/>
              </w:rPr>
              <w:t>450</w:t>
            </w:r>
          </w:p>
        </w:tc>
        <w:tc>
          <w:tcPr>
            <w:tcW w:w="1067" w:type="dxa"/>
            <w:shd w:val="clear" w:color="auto" w:fill="FFFF00"/>
            <w:vAlign w:val="center"/>
          </w:tcPr>
          <w:p w14:paraId="25E205C4" w14:textId="77777777" w:rsidR="00270ED4" w:rsidRPr="00D2316B" w:rsidRDefault="00270ED4" w:rsidP="00270ED4">
            <w:pPr>
              <w:pStyle w:val="tablerow1"/>
              <w:spacing w:before="20" w:after="20"/>
              <w:rPr>
                <w:sz w:val="17"/>
                <w:szCs w:val="17"/>
              </w:rPr>
            </w:pPr>
            <w:r w:rsidRPr="00D2316B">
              <w:rPr>
                <w:sz w:val="17"/>
                <w:szCs w:val="17"/>
              </w:rPr>
              <w:t>3.2</w:t>
            </w:r>
          </w:p>
        </w:tc>
        <w:tc>
          <w:tcPr>
            <w:tcW w:w="1342" w:type="dxa"/>
            <w:shd w:val="clear" w:color="auto" w:fill="FFFF00"/>
          </w:tcPr>
          <w:p w14:paraId="6B03FAC1"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12B7B40E" w14:textId="77777777" w:rsidR="00270ED4" w:rsidRPr="00E60B0F" w:rsidRDefault="00270ED4" w:rsidP="00270ED4">
            <w:pPr>
              <w:pStyle w:val="tablerow1"/>
              <w:spacing w:before="0" w:after="0"/>
            </w:pPr>
            <w:r w:rsidRPr="008C4970">
              <w:rPr>
                <w:sz w:val="20"/>
              </w:rPr>
              <w:sym w:font="Wingdings 3" w:char="F0C8"/>
            </w:r>
          </w:p>
        </w:tc>
      </w:tr>
      <w:tr w:rsidR="00270ED4" w:rsidRPr="00E60B0F" w14:paraId="06763732" w14:textId="77777777" w:rsidTr="00270ED4">
        <w:trPr>
          <w:jc w:val="center"/>
        </w:trPr>
        <w:tc>
          <w:tcPr>
            <w:tcW w:w="1806" w:type="dxa"/>
            <w:tcBorders>
              <w:left w:val="nil"/>
            </w:tcBorders>
            <w:shd w:val="clear" w:color="auto" w:fill="FFFF00"/>
            <w:vAlign w:val="center"/>
          </w:tcPr>
          <w:p w14:paraId="3F60DC31" w14:textId="77777777" w:rsidR="00270ED4" w:rsidRPr="00D2316B" w:rsidRDefault="00270ED4" w:rsidP="00270ED4">
            <w:pPr>
              <w:pStyle w:val="tablerow1"/>
              <w:spacing w:before="20" w:after="20"/>
              <w:jc w:val="left"/>
              <w:rPr>
                <w:sz w:val="17"/>
                <w:szCs w:val="17"/>
              </w:rPr>
            </w:pPr>
            <w:r w:rsidRPr="00D2316B">
              <w:rPr>
                <w:sz w:val="17"/>
                <w:szCs w:val="17"/>
              </w:rPr>
              <w:t>Bahrain</w:t>
            </w:r>
          </w:p>
        </w:tc>
        <w:tc>
          <w:tcPr>
            <w:tcW w:w="1455" w:type="dxa"/>
            <w:shd w:val="clear" w:color="auto" w:fill="FFFF00"/>
            <w:vAlign w:val="center"/>
          </w:tcPr>
          <w:p w14:paraId="01EC2330" w14:textId="77777777" w:rsidR="00270ED4" w:rsidRPr="00D2316B" w:rsidRDefault="00270ED4" w:rsidP="00270ED4">
            <w:pPr>
              <w:pStyle w:val="tablerow1"/>
              <w:spacing w:before="20" w:after="20"/>
              <w:rPr>
                <w:sz w:val="17"/>
                <w:szCs w:val="17"/>
              </w:rPr>
            </w:pPr>
            <w:r w:rsidRPr="00D2316B">
              <w:rPr>
                <w:sz w:val="17"/>
                <w:szCs w:val="17"/>
              </w:rPr>
              <w:t>446</w:t>
            </w:r>
          </w:p>
        </w:tc>
        <w:tc>
          <w:tcPr>
            <w:tcW w:w="1067" w:type="dxa"/>
            <w:shd w:val="clear" w:color="auto" w:fill="FFFF00"/>
            <w:vAlign w:val="center"/>
          </w:tcPr>
          <w:p w14:paraId="5B0EA4AE" w14:textId="77777777" w:rsidR="00270ED4" w:rsidRPr="00D2316B" w:rsidRDefault="00270ED4" w:rsidP="00270ED4">
            <w:pPr>
              <w:pStyle w:val="tablerow1"/>
              <w:spacing w:before="20" w:after="20"/>
              <w:rPr>
                <w:sz w:val="17"/>
                <w:szCs w:val="17"/>
              </w:rPr>
            </w:pPr>
            <w:r w:rsidRPr="00D2316B">
              <w:rPr>
                <w:sz w:val="17"/>
                <w:szCs w:val="17"/>
              </w:rPr>
              <w:t>2.3</w:t>
            </w:r>
          </w:p>
        </w:tc>
        <w:tc>
          <w:tcPr>
            <w:tcW w:w="1342" w:type="dxa"/>
            <w:shd w:val="clear" w:color="auto" w:fill="FFFF00"/>
          </w:tcPr>
          <w:p w14:paraId="5BD0828D"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692D35CF" w14:textId="77777777" w:rsidR="00270ED4" w:rsidRPr="00E60B0F" w:rsidRDefault="00270ED4" w:rsidP="00270ED4">
            <w:pPr>
              <w:pStyle w:val="tablerow1"/>
              <w:spacing w:before="0" w:after="0"/>
            </w:pPr>
            <w:r w:rsidRPr="008C4970">
              <w:rPr>
                <w:sz w:val="20"/>
              </w:rPr>
              <w:sym w:font="Wingdings 3" w:char="F0C8"/>
            </w:r>
          </w:p>
        </w:tc>
      </w:tr>
      <w:tr w:rsidR="00270ED4" w:rsidRPr="00E60B0F" w14:paraId="2971A3F5" w14:textId="77777777" w:rsidTr="00270ED4">
        <w:trPr>
          <w:jc w:val="center"/>
        </w:trPr>
        <w:tc>
          <w:tcPr>
            <w:tcW w:w="1806" w:type="dxa"/>
            <w:tcBorders>
              <w:left w:val="nil"/>
            </w:tcBorders>
            <w:shd w:val="clear" w:color="auto" w:fill="FFFF00"/>
            <w:vAlign w:val="center"/>
          </w:tcPr>
          <w:p w14:paraId="00302959" w14:textId="77777777" w:rsidR="00270ED4" w:rsidRPr="00D2316B" w:rsidRDefault="00270ED4" w:rsidP="00270ED4">
            <w:pPr>
              <w:pStyle w:val="tablerow1"/>
              <w:spacing w:before="20" w:after="20"/>
              <w:jc w:val="left"/>
              <w:rPr>
                <w:sz w:val="17"/>
                <w:szCs w:val="17"/>
              </w:rPr>
            </w:pPr>
            <w:r w:rsidRPr="00D2316B">
              <w:rPr>
                <w:sz w:val="17"/>
                <w:szCs w:val="17"/>
              </w:rPr>
              <w:t>Qatar</w:t>
            </w:r>
          </w:p>
        </w:tc>
        <w:tc>
          <w:tcPr>
            <w:tcW w:w="1455" w:type="dxa"/>
            <w:shd w:val="clear" w:color="auto" w:fill="FFFF00"/>
            <w:vAlign w:val="center"/>
          </w:tcPr>
          <w:p w14:paraId="52AEE6F1" w14:textId="77777777" w:rsidR="00270ED4" w:rsidRPr="00D2316B" w:rsidRDefault="00270ED4" w:rsidP="00270ED4">
            <w:pPr>
              <w:pStyle w:val="tablerow1"/>
              <w:spacing w:before="20" w:after="20"/>
              <w:rPr>
                <w:sz w:val="17"/>
                <w:szCs w:val="17"/>
              </w:rPr>
            </w:pPr>
            <w:r w:rsidRPr="00D2316B">
              <w:rPr>
                <w:sz w:val="17"/>
                <w:szCs w:val="17"/>
              </w:rPr>
              <w:t>442</w:t>
            </w:r>
          </w:p>
        </w:tc>
        <w:tc>
          <w:tcPr>
            <w:tcW w:w="1067" w:type="dxa"/>
            <w:shd w:val="clear" w:color="auto" w:fill="FFFF00"/>
            <w:vAlign w:val="center"/>
          </w:tcPr>
          <w:p w14:paraId="1ADE7A74" w14:textId="77777777" w:rsidR="00270ED4" w:rsidRPr="00D2316B" w:rsidRDefault="00270ED4" w:rsidP="00270ED4">
            <w:pPr>
              <w:pStyle w:val="tablerow1"/>
              <w:spacing w:before="20" w:after="20"/>
              <w:rPr>
                <w:sz w:val="17"/>
                <w:szCs w:val="17"/>
              </w:rPr>
            </w:pPr>
            <w:r>
              <w:rPr>
                <w:sz w:val="17"/>
                <w:szCs w:val="17"/>
              </w:rPr>
              <w:t>1.8</w:t>
            </w:r>
          </w:p>
        </w:tc>
        <w:tc>
          <w:tcPr>
            <w:tcW w:w="1342" w:type="dxa"/>
            <w:shd w:val="clear" w:color="auto" w:fill="FFFF00"/>
          </w:tcPr>
          <w:p w14:paraId="640C8044"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4EA19F86" w14:textId="77777777" w:rsidR="00270ED4" w:rsidRPr="00E60B0F" w:rsidRDefault="00270ED4" w:rsidP="00270ED4">
            <w:pPr>
              <w:pStyle w:val="tablerow1"/>
              <w:spacing w:before="0" w:after="0"/>
            </w:pPr>
            <w:r w:rsidRPr="008C4970">
              <w:rPr>
                <w:sz w:val="20"/>
              </w:rPr>
              <w:sym w:font="Wingdings 3" w:char="F0C8"/>
            </w:r>
          </w:p>
        </w:tc>
      </w:tr>
      <w:tr w:rsidR="00270ED4" w:rsidRPr="00E60B0F" w14:paraId="4896925A" w14:textId="77777777" w:rsidTr="00270ED4">
        <w:trPr>
          <w:jc w:val="center"/>
        </w:trPr>
        <w:tc>
          <w:tcPr>
            <w:tcW w:w="1806" w:type="dxa"/>
            <w:tcBorders>
              <w:left w:val="nil"/>
            </w:tcBorders>
            <w:shd w:val="clear" w:color="auto" w:fill="FFFF00"/>
            <w:vAlign w:val="center"/>
          </w:tcPr>
          <w:p w14:paraId="07ABC466" w14:textId="77777777" w:rsidR="00270ED4" w:rsidRPr="00D2316B" w:rsidRDefault="00270ED4" w:rsidP="00270ED4">
            <w:pPr>
              <w:pStyle w:val="tablerow1"/>
              <w:spacing w:before="20" w:after="20"/>
              <w:jc w:val="left"/>
              <w:rPr>
                <w:sz w:val="17"/>
                <w:szCs w:val="17"/>
              </w:rPr>
            </w:pPr>
            <w:r w:rsidRPr="00D2316B">
              <w:rPr>
                <w:sz w:val="17"/>
                <w:szCs w:val="17"/>
              </w:rPr>
              <w:t>Saudi Arabia</w:t>
            </w:r>
          </w:p>
        </w:tc>
        <w:tc>
          <w:tcPr>
            <w:tcW w:w="1455" w:type="dxa"/>
            <w:shd w:val="clear" w:color="auto" w:fill="FFFF00"/>
            <w:vAlign w:val="center"/>
          </w:tcPr>
          <w:p w14:paraId="639A4116" w14:textId="77777777" w:rsidR="00270ED4" w:rsidRPr="00D2316B" w:rsidRDefault="00270ED4" w:rsidP="00270ED4">
            <w:pPr>
              <w:pStyle w:val="tablerow1"/>
              <w:spacing w:before="20" w:after="20"/>
              <w:rPr>
                <w:sz w:val="17"/>
                <w:szCs w:val="17"/>
              </w:rPr>
            </w:pPr>
            <w:r w:rsidRPr="00D2316B">
              <w:rPr>
                <w:sz w:val="17"/>
                <w:szCs w:val="17"/>
              </w:rPr>
              <w:t>430</w:t>
            </w:r>
          </w:p>
        </w:tc>
        <w:tc>
          <w:tcPr>
            <w:tcW w:w="1067" w:type="dxa"/>
            <w:shd w:val="clear" w:color="auto" w:fill="FFFF00"/>
            <w:vAlign w:val="center"/>
          </w:tcPr>
          <w:p w14:paraId="2FBFE680" w14:textId="77777777" w:rsidR="00270ED4" w:rsidRPr="00D2316B" w:rsidRDefault="00270ED4" w:rsidP="00270ED4">
            <w:pPr>
              <w:pStyle w:val="tablerow1"/>
              <w:spacing w:before="20" w:after="20"/>
              <w:rPr>
                <w:sz w:val="17"/>
                <w:szCs w:val="17"/>
              </w:rPr>
            </w:pPr>
            <w:r w:rsidRPr="00D2316B">
              <w:rPr>
                <w:sz w:val="17"/>
                <w:szCs w:val="17"/>
              </w:rPr>
              <w:t>4.2</w:t>
            </w:r>
          </w:p>
        </w:tc>
        <w:tc>
          <w:tcPr>
            <w:tcW w:w="1342" w:type="dxa"/>
            <w:shd w:val="clear" w:color="auto" w:fill="FFFF00"/>
          </w:tcPr>
          <w:p w14:paraId="6FFA797D"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7713AB11" w14:textId="77777777" w:rsidR="00270ED4" w:rsidRPr="00E60B0F" w:rsidRDefault="00270ED4" w:rsidP="00270ED4">
            <w:pPr>
              <w:pStyle w:val="tablerow1"/>
              <w:spacing w:before="0" w:after="0"/>
            </w:pPr>
            <w:r w:rsidRPr="008C4970">
              <w:rPr>
                <w:sz w:val="20"/>
              </w:rPr>
              <w:sym w:font="Wingdings 3" w:char="F0C8"/>
            </w:r>
          </w:p>
        </w:tc>
      </w:tr>
      <w:tr w:rsidR="00270ED4" w:rsidRPr="00E60B0F" w14:paraId="24C78DEE" w14:textId="77777777" w:rsidTr="00270ED4">
        <w:trPr>
          <w:jc w:val="center"/>
        </w:trPr>
        <w:tc>
          <w:tcPr>
            <w:tcW w:w="1806" w:type="dxa"/>
            <w:tcBorders>
              <w:left w:val="nil"/>
            </w:tcBorders>
            <w:shd w:val="clear" w:color="auto" w:fill="FFFF00"/>
            <w:vAlign w:val="center"/>
          </w:tcPr>
          <w:p w14:paraId="5379652E" w14:textId="77777777" w:rsidR="00270ED4" w:rsidRPr="00D2316B" w:rsidRDefault="00270ED4" w:rsidP="00270ED4">
            <w:pPr>
              <w:pStyle w:val="tablerow1"/>
              <w:spacing w:before="20" w:after="20"/>
              <w:jc w:val="left"/>
              <w:rPr>
                <w:sz w:val="17"/>
                <w:szCs w:val="17"/>
              </w:rPr>
            </w:pPr>
            <w:r w:rsidRPr="00D2316B">
              <w:rPr>
                <w:sz w:val="17"/>
                <w:szCs w:val="17"/>
              </w:rPr>
              <w:t>Iran</w:t>
            </w:r>
          </w:p>
        </w:tc>
        <w:tc>
          <w:tcPr>
            <w:tcW w:w="1455" w:type="dxa"/>
            <w:shd w:val="clear" w:color="auto" w:fill="FFFF00"/>
            <w:vAlign w:val="center"/>
          </w:tcPr>
          <w:p w14:paraId="732B716C" w14:textId="77777777" w:rsidR="00270ED4" w:rsidRPr="00D2316B" w:rsidRDefault="00270ED4" w:rsidP="00270ED4">
            <w:pPr>
              <w:pStyle w:val="tablerow1"/>
              <w:spacing w:before="20" w:after="20"/>
              <w:rPr>
                <w:sz w:val="17"/>
                <w:szCs w:val="17"/>
              </w:rPr>
            </w:pPr>
            <w:r w:rsidRPr="00D2316B">
              <w:rPr>
                <w:sz w:val="17"/>
                <w:szCs w:val="17"/>
              </w:rPr>
              <w:t>428</w:t>
            </w:r>
          </w:p>
        </w:tc>
        <w:tc>
          <w:tcPr>
            <w:tcW w:w="1067" w:type="dxa"/>
            <w:shd w:val="clear" w:color="auto" w:fill="FFFF00"/>
            <w:vAlign w:val="center"/>
          </w:tcPr>
          <w:p w14:paraId="64AB22A9" w14:textId="77777777" w:rsidR="00270ED4" w:rsidRPr="00D2316B" w:rsidRDefault="00270ED4" w:rsidP="00270ED4">
            <w:pPr>
              <w:pStyle w:val="tablerow1"/>
              <w:spacing w:before="20" w:after="20"/>
              <w:rPr>
                <w:sz w:val="17"/>
                <w:szCs w:val="17"/>
              </w:rPr>
            </w:pPr>
            <w:r w:rsidRPr="00D2316B">
              <w:rPr>
                <w:sz w:val="17"/>
                <w:szCs w:val="17"/>
              </w:rPr>
              <w:t>4.0</w:t>
            </w:r>
          </w:p>
        </w:tc>
        <w:tc>
          <w:tcPr>
            <w:tcW w:w="1342" w:type="dxa"/>
            <w:shd w:val="clear" w:color="auto" w:fill="FFFF00"/>
          </w:tcPr>
          <w:p w14:paraId="145D92ED"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64DA464B" w14:textId="77777777" w:rsidR="00270ED4" w:rsidRPr="00E60B0F" w:rsidRDefault="00270ED4" w:rsidP="00270ED4">
            <w:pPr>
              <w:pStyle w:val="tablerow1"/>
              <w:spacing w:before="0" w:after="0"/>
            </w:pPr>
            <w:r w:rsidRPr="008C4970">
              <w:rPr>
                <w:sz w:val="20"/>
              </w:rPr>
              <w:sym w:font="Wingdings 3" w:char="F0C8"/>
            </w:r>
          </w:p>
        </w:tc>
      </w:tr>
      <w:tr w:rsidR="00270ED4" w:rsidRPr="00E60B0F" w14:paraId="476F799F" w14:textId="77777777" w:rsidTr="00270ED4">
        <w:trPr>
          <w:jc w:val="center"/>
        </w:trPr>
        <w:tc>
          <w:tcPr>
            <w:tcW w:w="1806" w:type="dxa"/>
            <w:tcBorders>
              <w:left w:val="nil"/>
            </w:tcBorders>
            <w:shd w:val="clear" w:color="auto" w:fill="FFFF00"/>
            <w:vAlign w:val="center"/>
          </w:tcPr>
          <w:p w14:paraId="169C9F68" w14:textId="77777777" w:rsidR="00270ED4" w:rsidRPr="00D2316B" w:rsidRDefault="00270ED4" w:rsidP="00270ED4">
            <w:pPr>
              <w:pStyle w:val="tablerow1"/>
              <w:spacing w:before="20" w:after="20"/>
              <w:jc w:val="left"/>
              <w:rPr>
                <w:sz w:val="17"/>
                <w:szCs w:val="17"/>
              </w:rPr>
            </w:pPr>
            <w:r w:rsidRPr="00D2316B">
              <w:rPr>
                <w:sz w:val="17"/>
                <w:szCs w:val="17"/>
              </w:rPr>
              <w:t>Oman</w:t>
            </w:r>
          </w:p>
        </w:tc>
        <w:tc>
          <w:tcPr>
            <w:tcW w:w="1455" w:type="dxa"/>
            <w:shd w:val="clear" w:color="auto" w:fill="FFFF00"/>
            <w:vAlign w:val="center"/>
          </w:tcPr>
          <w:p w14:paraId="119C1840" w14:textId="77777777" w:rsidR="00270ED4" w:rsidRPr="00D2316B" w:rsidRDefault="00270ED4" w:rsidP="00270ED4">
            <w:pPr>
              <w:pStyle w:val="tablerow1"/>
              <w:spacing w:before="20" w:after="20"/>
              <w:rPr>
                <w:sz w:val="17"/>
                <w:szCs w:val="17"/>
              </w:rPr>
            </w:pPr>
            <w:r w:rsidRPr="00D2316B">
              <w:rPr>
                <w:sz w:val="17"/>
                <w:szCs w:val="17"/>
              </w:rPr>
              <w:t>418</w:t>
            </w:r>
          </w:p>
        </w:tc>
        <w:tc>
          <w:tcPr>
            <w:tcW w:w="1067" w:type="dxa"/>
            <w:shd w:val="clear" w:color="auto" w:fill="FFFF00"/>
            <w:vAlign w:val="center"/>
          </w:tcPr>
          <w:p w14:paraId="2C5AFCF5" w14:textId="77777777" w:rsidR="00270ED4" w:rsidRPr="00D2316B" w:rsidRDefault="00270ED4" w:rsidP="00270ED4">
            <w:pPr>
              <w:pStyle w:val="tablerow1"/>
              <w:spacing w:before="20" w:after="20"/>
              <w:rPr>
                <w:sz w:val="17"/>
                <w:szCs w:val="17"/>
              </w:rPr>
            </w:pPr>
            <w:r w:rsidRPr="00D2316B">
              <w:rPr>
                <w:sz w:val="17"/>
                <w:szCs w:val="17"/>
              </w:rPr>
              <w:t>3.3</w:t>
            </w:r>
          </w:p>
        </w:tc>
        <w:tc>
          <w:tcPr>
            <w:tcW w:w="1342" w:type="dxa"/>
            <w:shd w:val="clear" w:color="auto" w:fill="FFFF00"/>
          </w:tcPr>
          <w:p w14:paraId="39A71533"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59E52955" w14:textId="77777777" w:rsidR="00270ED4" w:rsidRPr="00E60B0F" w:rsidRDefault="00270ED4" w:rsidP="00270ED4">
            <w:pPr>
              <w:pStyle w:val="tablerow1"/>
              <w:spacing w:before="0" w:after="0"/>
            </w:pPr>
            <w:r w:rsidRPr="008C4970">
              <w:rPr>
                <w:sz w:val="20"/>
              </w:rPr>
              <w:sym w:font="Wingdings 3" w:char="F0C8"/>
            </w:r>
          </w:p>
        </w:tc>
      </w:tr>
      <w:tr w:rsidR="00270ED4" w:rsidRPr="00E60B0F" w14:paraId="2A8E98E4" w14:textId="77777777" w:rsidTr="00270ED4">
        <w:trPr>
          <w:jc w:val="center"/>
        </w:trPr>
        <w:tc>
          <w:tcPr>
            <w:tcW w:w="1806" w:type="dxa"/>
            <w:tcBorders>
              <w:left w:val="nil"/>
            </w:tcBorders>
            <w:shd w:val="clear" w:color="auto" w:fill="FFFF00"/>
            <w:vAlign w:val="center"/>
          </w:tcPr>
          <w:p w14:paraId="1A999724" w14:textId="77777777" w:rsidR="00270ED4" w:rsidRPr="00D2316B" w:rsidRDefault="00270ED4" w:rsidP="00270ED4">
            <w:pPr>
              <w:pStyle w:val="tablerow1"/>
              <w:spacing w:before="20" w:after="20"/>
              <w:jc w:val="left"/>
              <w:rPr>
                <w:sz w:val="17"/>
                <w:szCs w:val="17"/>
              </w:rPr>
            </w:pPr>
            <w:r w:rsidRPr="00D2316B">
              <w:rPr>
                <w:sz w:val="17"/>
                <w:szCs w:val="17"/>
              </w:rPr>
              <w:t>Kuwait</w:t>
            </w:r>
          </w:p>
        </w:tc>
        <w:tc>
          <w:tcPr>
            <w:tcW w:w="1455" w:type="dxa"/>
            <w:shd w:val="clear" w:color="auto" w:fill="FFFF00"/>
            <w:vAlign w:val="center"/>
          </w:tcPr>
          <w:p w14:paraId="1147F368" w14:textId="77777777" w:rsidR="00270ED4" w:rsidRPr="00D2316B" w:rsidRDefault="00270ED4" w:rsidP="00270ED4">
            <w:pPr>
              <w:pStyle w:val="tablerow1"/>
              <w:spacing w:before="20" w:after="20"/>
              <w:rPr>
                <w:sz w:val="17"/>
                <w:szCs w:val="17"/>
              </w:rPr>
            </w:pPr>
            <w:r w:rsidRPr="00D2316B">
              <w:rPr>
                <w:sz w:val="17"/>
                <w:szCs w:val="17"/>
              </w:rPr>
              <w:t>393</w:t>
            </w:r>
          </w:p>
        </w:tc>
        <w:tc>
          <w:tcPr>
            <w:tcW w:w="1067" w:type="dxa"/>
            <w:shd w:val="clear" w:color="auto" w:fill="FFFF00"/>
            <w:vAlign w:val="center"/>
          </w:tcPr>
          <w:p w14:paraId="1051A085" w14:textId="77777777" w:rsidR="00270ED4" w:rsidRPr="00D2316B" w:rsidRDefault="00270ED4" w:rsidP="00270ED4">
            <w:pPr>
              <w:pStyle w:val="tablerow1"/>
              <w:spacing w:before="20" w:after="20"/>
              <w:rPr>
                <w:sz w:val="17"/>
                <w:szCs w:val="17"/>
              </w:rPr>
            </w:pPr>
            <w:r w:rsidRPr="00D2316B">
              <w:rPr>
                <w:sz w:val="17"/>
                <w:szCs w:val="17"/>
              </w:rPr>
              <w:t>4.1</w:t>
            </w:r>
          </w:p>
        </w:tc>
        <w:tc>
          <w:tcPr>
            <w:tcW w:w="1342" w:type="dxa"/>
            <w:shd w:val="clear" w:color="auto" w:fill="FFFF00"/>
          </w:tcPr>
          <w:p w14:paraId="2687C996"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424D4CF8" w14:textId="77777777" w:rsidR="00270ED4" w:rsidRPr="00E60B0F" w:rsidRDefault="00270ED4" w:rsidP="00270ED4">
            <w:pPr>
              <w:pStyle w:val="tablerow1"/>
              <w:spacing w:before="0" w:after="0"/>
            </w:pPr>
            <w:r w:rsidRPr="008C4970">
              <w:rPr>
                <w:sz w:val="20"/>
              </w:rPr>
              <w:sym w:font="Wingdings 3" w:char="F0C8"/>
            </w:r>
          </w:p>
        </w:tc>
      </w:tr>
      <w:tr w:rsidR="00270ED4" w:rsidRPr="00E60B0F" w14:paraId="0F3F4812" w14:textId="77777777" w:rsidTr="00270ED4">
        <w:trPr>
          <w:jc w:val="center"/>
        </w:trPr>
        <w:tc>
          <w:tcPr>
            <w:tcW w:w="1806" w:type="dxa"/>
            <w:tcBorders>
              <w:left w:val="nil"/>
            </w:tcBorders>
            <w:shd w:val="clear" w:color="auto" w:fill="FFFF00"/>
            <w:vAlign w:val="center"/>
          </w:tcPr>
          <w:p w14:paraId="3B8C31A7" w14:textId="77777777" w:rsidR="00270ED4" w:rsidRPr="00D2316B" w:rsidRDefault="00270ED4" w:rsidP="00270ED4">
            <w:pPr>
              <w:pStyle w:val="tablerow1"/>
              <w:spacing w:before="20" w:after="20"/>
              <w:jc w:val="left"/>
              <w:rPr>
                <w:sz w:val="17"/>
                <w:szCs w:val="17"/>
              </w:rPr>
            </w:pPr>
            <w:r w:rsidRPr="00D2316B">
              <w:rPr>
                <w:sz w:val="17"/>
                <w:szCs w:val="17"/>
              </w:rPr>
              <w:t>Morocco</w:t>
            </w:r>
          </w:p>
        </w:tc>
        <w:tc>
          <w:tcPr>
            <w:tcW w:w="1455" w:type="dxa"/>
            <w:shd w:val="clear" w:color="auto" w:fill="FFFF00"/>
            <w:vAlign w:val="center"/>
          </w:tcPr>
          <w:p w14:paraId="0C59B0CF" w14:textId="77777777" w:rsidR="00270ED4" w:rsidRPr="00D2316B" w:rsidRDefault="00270ED4" w:rsidP="00270ED4">
            <w:pPr>
              <w:pStyle w:val="tablerow1"/>
              <w:spacing w:before="20" w:after="20"/>
              <w:rPr>
                <w:sz w:val="17"/>
                <w:szCs w:val="17"/>
              </w:rPr>
            </w:pPr>
            <w:r w:rsidRPr="00D2316B">
              <w:rPr>
                <w:sz w:val="17"/>
                <w:szCs w:val="17"/>
              </w:rPr>
              <w:t>358</w:t>
            </w:r>
          </w:p>
        </w:tc>
        <w:tc>
          <w:tcPr>
            <w:tcW w:w="1067" w:type="dxa"/>
            <w:shd w:val="clear" w:color="auto" w:fill="FFFF00"/>
            <w:vAlign w:val="center"/>
          </w:tcPr>
          <w:p w14:paraId="67E0A035" w14:textId="77777777" w:rsidR="00270ED4" w:rsidRPr="00D2316B" w:rsidRDefault="00270ED4" w:rsidP="00270ED4">
            <w:pPr>
              <w:pStyle w:val="tablerow1"/>
              <w:spacing w:before="20" w:after="20"/>
              <w:rPr>
                <w:sz w:val="17"/>
                <w:szCs w:val="17"/>
              </w:rPr>
            </w:pPr>
            <w:r w:rsidRPr="00D2316B">
              <w:rPr>
                <w:sz w:val="17"/>
                <w:szCs w:val="17"/>
              </w:rPr>
              <w:t>3.9</w:t>
            </w:r>
          </w:p>
        </w:tc>
        <w:tc>
          <w:tcPr>
            <w:tcW w:w="1342" w:type="dxa"/>
            <w:shd w:val="clear" w:color="auto" w:fill="FFFF00"/>
          </w:tcPr>
          <w:p w14:paraId="2F6EF522"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4EBEF80F" w14:textId="77777777" w:rsidR="00270ED4" w:rsidRPr="00E60B0F" w:rsidRDefault="00270ED4" w:rsidP="00270ED4">
            <w:pPr>
              <w:pStyle w:val="tablerow1"/>
              <w:spacing w:before="0" w:after="0"/>
            </w:pPr>
            <w:r w:rsidRPr="008C4970">
              <w:rPr>
                <w:sz w:val="20"/>
              </w:rPr>
              <w:sym w:font="Wingdings 3" w:char="F0C8"/>
            </w:r>
          </w:p>
        </w:tc>
      </w:tr>
      <w:tr w:rsidR="00270ED4" w:rsidRPr="00E60B0F" w14:paraId="3D21276D" w14:textId="77777777" w:rsidTr="00270ED4">
        <w:trPr>
          <w:jc w:val="center"/>
        </w:trPr>
        <w:tc>
          <w:tcPr>
            <w:tcW w:w="1806" w:type="dxa"/>
            <w:tcBorders>
              <w:left w:val="nil"/>
            </w:tcBorders>
            <w:shd w:val="clear" w:color="auto" w:fill="FFFF00"/>
            <w:vAlign w:val="center"/>
          </w:tcPr>
          <w:p w14:paraId="09BC8E3E" w14:textId="77777777" w:rsidR="00270ED4" w:rsidRPr="00D2316B" w:rsidRDefault="00270ED4" w:rsidP="00270ED4">
            <w:pPr>
              <w:pStyle w:val="tablerow1"/>
              <w:spacing w:before="20" w:after="20"/>
              <w:jc w:val="left"/>
              <w:rPr>
                <w:sz w:val="17"/>
                <w:szCs w:val="17"/>
              </w:rPr>
            </w:pPr>
            <w:r w:rsidRPr="00D2316B">
              <w:rPr>
                <w:sz w:val="17"/>
                <w:szCs w:val="17"/>
              </w:rPr>
              <w:t>Egypt</w:t>
            </w:r>
          </w:p>
        </w:tc>
        <w:tc>
          <w:tcPr>
            <w:tcW w:w="1455" w:type="dxa"/>
            <w:shd w:val="clear" w:color="auto" w:fill="FFFF00"/>
            <w:vAlign w:val="center"/>
          </w:tcPr>
          <w:p w14:paraId="21A9A0BD" w14:textId="77777777" w:rsidR="00270ED4" w:rsidRPr="00D2316B" w:rsidRDefault="00270ED4" w:rsidP="00270ED4">
            <w:pPr>
              <w:pStyle w:val="tablerow1"/>
              <w:spacing w:before="20" w:after="20"/>
              <w:rPr>
                <w:sz w:val="17"/>
                <w:szCs w:val="17"/>
              </w:rPr>
            </w:pPr>
            <w:r w:rsidRPr="00D2316B">
              <w:rPr>
                <w:sz w:val="17"/>
                <w:szCs w:val="17"/>
              </w:rPr>
              <w:t>330</w:t>
            </w:r>
          </w:p>
        </w:tc>
        <w:tc>
          <w:tcPr>
            <w:tcW w:w="1067" w:type="dxa"/>
            <w:shd w:val="clear" w:color="auto" w:fill="FFFF00"/>
            <w:vAlign w:val="center"/>
          </w:tcPr>
          <w:p w14:paraId="03883FB1" w14:textId="77777777" w:rsidR="00270ED4" w:rsidRPr="00D2316B" w:rsidRDefault="00270ED4" w:rsidP="00270ED4">
            <w:pPr>
              <w:pStyle w:val="tablerow1"/>
              <w:spacing w:before="20" w:after="20"/>
              <w:rPr>
                <w:sz w:val="17"/>
                <w:szCs w:val="17"/>
              </w:rPr>
            </w:pPr>
            <w:r w:rsidRPr="00D2316B">
              <w:rPr>
                <w:sz w:val="17"/>
                <w:szCs w:val="17"/>
              </w:rPr>
              <w:t>5.6</w:t>
            </w:r>
          </w:p>
        </w:tc>
        <w:tc>
          <w:tcPr>
            <w:tcW w:w="1342" w:type="dxa"/>
            <w:shd w:val="clear" w:color="auto" w:fill="FFFF00"/>
          </w:tcPr>
          <w:p w14:paraId="1D00124A"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26CA6213" w14:textId="77777777" w:rsidR="00270ED4" w:rsidRPr="00E60B0F" w:rsidRDefault="00270ED4" w:rsidP="00270ED4">
            <w:pPr>
              <w:pStyle w:val="tablerow1"/>
              <w:spacing w:before="0" w:after="0"/>
            </w:pPr>
            <w:r w:rsidRPr="008C4970">
              <w:rPr>
                <w:sz w:val="20"/>
              </w:rPr>
              <w:sym w:font="Wingdings 3" w:char="F0C8"/>
            </w:r>
          </w:p>
        </w:tc>
      </w:tr>
      <w:tr w:rsidR="00270ED4" w:rsidRPr="00E60B0F" w14:paraId="0AC619E2" w14:textId="77777777" w:rsidTr="00270ED4">
        <w:trPr>
          <w:jc w:val="center"/>
        </w:trPr>
        <w:tc>
          <w:tcPr>
            <w:tcW w:w="1806" w:type="dxa"/>
            <w:tcBorders>
              <w:left w:val="nil"/>
            </w:tcBorders>
            <w:shd w:val="clear" w:color="auto" w:fill="FFFF00"/>
            <w:vAlign w:val="center"/>
          </w:tcPr>
          <w:p w14:paraId="3BF2671A" w14:textId="77777777" w:rsidR="00270ED4" w:rsidRPr="00D2316B" w:rsidRDefault="00270ED4" w:rsidP="00270ED4">
            <w:pPr>
              <w:pStyle w:val="tablerow1"/>
              <w:spacing w:before="20" w:after="20"/>
              <w:jc w:val="left"/>
              <w:rPr>
                <w:sz w:val="17"/>
                <w:szCs w:val="17"/>
              </w:rPr>
            </w:pPr>
            <w:r w:rsidRPr="00D2316B">
              <w:rPr>
                <w:sz w:val="17"/>
                <w:szCs w:val="17"/>
              </w:rPr>
              <w:t>South Africa</w:t>
            </w:r>
          </w:p>
        </w:tc>
        <w:tc>
          <w:tcPr>
            <w:tcW w:w="1455" w:type="dxa"/>
            <w:shd w:val="clear" w:color="auto" w:fill="FFFF00"/>
            <w:vAlign w:val="center"/>
          </w:tcPr>
          <w:p w14:paraId="5D6A1680" w14:textId="77777777" w:rsidR="00270ED4" w:rsidRPr="00D2316B" w:rsidRDefault="00270ED4" w:rsidP="00270ED4">
            <w:pPr>
              <w:pStyle w:val="tablerow1"/>
              <w:spacing w:before="20" w:after="20"/>
              <w:rPr>
                <w:sz w:val="17"/>
                <w:szCs w:val="17"/>
              </w:rPr>
            </w:pPr>
            <w:r w:rsidRPr="00D2316B">
              <w:rPr>
                <w:sz w:val="17"/>
                <w:szCs w:val="17"/>
              </w:rPr>
              <w:t>3</w:t>
            </w:r>
            <w:r>
              <w:rPr>
                <w:sz w:val="17"/>
                <w:szCs w:val="17"/>
              </w:rPr>
              <w:t>20</w:t>
            </w:r>
          </w:p>
        </w:tc>
        <w:tc>
          <w:tcPr>
            <w:tcW w:w="1067" w:type="dxa"/>
            <w:shd w:val="clear" w:color="auto" w:fill="FFFF00"/>
            <w:vAlign w:val="center"/>
          </w:tcPr>
          <w:p w14:paraId="49EE2655" w14:textId="77777777" w:rsidR="00270ED4" w:rsidRPr="00D2316B" w:rsidRDefault="00270ED4" w:rsidP="00270ED4">
            <w:pPr>
              <w:pStyle w:val="tablerow1"/>
              <w:spacing w:before="20" w:after="20"/>
              <w:rPr>
                <w:sz w:val="17"/>
                <w:szCs w:val="17"/>
              </w:rPr>
            </w:pPr>
            <w:r w:rsidRPr="00D2316B">
              <w:rPr>
                <w:sz w:val="17"/>
                <w:szCs w:val="17"/>
              </w:rPr>
              <w:t>4</w:t>
            </w:r>
            <w:r>
              <w:rPr>
                <w:sz w:val="17"/>
                <w:szCs w:val="17"/>
              </w:rPr>
              <w:t>.4</w:t>
            </w:r>
          </w:p>
        </w:tc>
        <w:tc>
          <w:tcPr>
            <w:tcW w:w="1342" w:type="dxa"/>
            <w:shd w:val="clear" w:color="auto" w:fill="FFFF00"/>
          </w:tcPr>
          <w:p w14:paraId="5041720E" w14:textId="77777777" w:rsidR="00270ED4" w:rsidRPr="008C4970" w:rsidRDefault="00270ED4" w:rsidP="00270ED4">
            <w:pPr>
              <w:pStyle w:val="tablerow1"/>
              <w:spacing w:before="0" w:after="0"/>
              <w:rPr>
                <w:sz w:val="20"/>
              </w:rPr>
            </w:pPr>
            <w:r w:rsidRPr="007F6ED1">
              <w:rPr>
                <w:szCs w:val="18"/>
              </w:rPr>
              <w:t>Lower</w:t>
            </w:r>
          </w:p>
        </w:tc>
        <w:tc>
          <w:tcPr>
            <w:tcW w:w="1426" w:type="dxa"/>
            <w:tcBorders>
              <w:right w:val="nil"/>
            </w:tcBorders>
            <w:shd w:val="clear" w:color="auto" w:fill="FFFF00"/>
          </w:tcPr>
          <w:p w14:paraId="79C1617E" w14:textId="77777777" w:rsidR="00270ED4" w:rsidRPr="00E60B0F" w:rsidRDefault="00270ED4" w:rsidP="00270ED4">
            <w:pPr>
              <w:pStyle w:val="tablerow1"/>
              <w:spacing w:before="0" w:after="0"/>
            </w:pPr>
            <w:r w:rsidRPr="008C4970">
              <w:rPr>
                <w:sz w:val="20"/>
              </w:rPr>
              <w:sym w:font="Wingdings 3" w:char="F0C8"/>
            </w:r>
          </w:p>
        </w:tc>
      </w:tr>
    </w:tbl>
    <w:p w14:paraId="6CDBB75C" w14:textId="77777777" w:rsidR="00131CD3" w:rsidRPr="00107BBB" w:rsidRDefault="00131CD3" w:rsidP="00A27626">
      <w:pPr>
        <w:pStyle w:val="ListParagraph"/>
        <w:rPr>
          <w:rFonts w:cs="Times New Roman"/>
          <w:b/>
          <w:sz w:val="24"/>
          <w:szCs w:val="24"/>
        </w:rPr>
      </w:pPr>
    </w:p>
    <w:p w14:paraId="44163078" w14:textId="77777777" w:rsidR="009B2FD7" w:rsidRDefault="009B2FD7" w:rsidP="009B2FD7">
      <w:pPr>
        <w:pStyle w:val="tabletitle"/>
      </w:pPr>
      <w:r>
        <w:lastRenderedPageBreak/>
        <w:t xml:space="preserve">ePIRLS mean scores and standard errors, and position relative to the Irish mean and PIRLS centrepoint </w:t>
      </w:r>
    </w:p>
    <w:tbl>
      <w:tblPr>
        <w:tblStyle w:val="TableGrid"/>
        <w:tblW w:w="0" w:type="auto"/>
        <w:jc w:val="center"/>
        <w:tblLook w:val="04A0" w:firstRow="1" w:lastRow="0" w:firstColumn="1" w:lastColumn="0" w:noHBand="0" w:noVBand="1"/>
      </w:tblPr>
      <w:tblGrid>
        <w:gridCol w:w="1677"/>
        <w:gridCol w:w="1232"/>
        <w:gridCol w:w="824"/>
        <w:gridCol w:w="1312"/>
        <w:gridCol w:w="1312"/>
      </w:tblGrid>
      <w:tr w:rsidR="009B2FD7" w:rsidRPr="00E60B0F" w14:paraId="4CE05822" w14:textId="77777777" w:rsidTr="009B2FD7">
        <w:trPr>
          <w:jc w:val="center"/>
        </w:trPr>
        <w:tc>
          <w:tcPr>
            <w:tcW w:w="1677" w:type="dxa"/>
            <w:tcBorders>
              <w:left w:val="nil"/>
            </w:tcBorders>
            <w:shd w:val="clear" w:color="auto" w:fill="auto"/>
          </w:tcPr>
          <w:p w14:paraId="224E42BD" w14:textId="77777777" w:rsidR="009B2FD7" w:rsidRPr="00E60B0F" w:rsidRDefault="009B2FD7" w:rsidP="009B2FD7">
            <w:pPr>
              <w:pStyle w:val="tablerow1"/>
            </w:pPr>
          </w:p>
        </w:tc>
        <w:tc>
          <w:tcPr>
            <w:tcW w:w="1232" w:type="dxa"/>
          </w:tcPr>
          <w:p w14:paraId="2F6309A7" w14:textId="77777777" w:rsidR="009B2FD7" w:rsidRPr="00E60B0F" w:rsidRDefault="009B2FD7" w:rsidP="009B2FD7">
            <w:pPr>
              <w:pStyle w:val="tablerow1"/>
            </w:pPr>
            <w:r>
              <w:t>e</w:t>
            </w:r>
            <w:r w:rsidRPr="00E60B0F">
              <w:t xml:space="preserve">PIRLS Mean </w:t>
            </w:r>
          </w:p>
        </w:tc>
        <w:tc>
          <w:tcPr>
            <w:tcW w:w="824" w:type="dxa"/>
          </w:tcPr>
          <w:p w14:paraId="05761FF7" w14:textId="77777777" w:rsidR="009B2FD7" w:rsidRPr="00E60B0F" w:rsidRDefault="009B2FD7" w:rsidP="009B2FD7">
            <w:pPr>
              <w:pStyle w:val="tablerow1"/>
            </w:pPr>
            <w:r w:rsidRPr="00E60B0F">
              <w:t>SE</w:t>
            </w:r>
          </w:p>
        </w:tc>
        <w:tc>
          <w:tcPr>
            <w:tcW w:w="1312" w:type="dxa"/>
          </w:tcPr>
          <w:p w14:paraId="1FB50779" w14:textId="77777777" w:rsidR="009B2FD7" w:rsidRDefault="009B2FD7" w:rsidP="009B2FD7">
            <w:pPr>
              <w:pStyle w:val="tablerow1"/>
            </w:pPr>
            <w:r>
              <w:t>PIRLS Mean</w:t>
            </w:r>
            <w:r w:rsidRPr="00907B3E">
              <w:rPr>
                <w:vertAlign w:val="superscript"/>
              </w:rPr>
              <w:t>1</w:t>
            </w:r>
          </w:p>
        </w:tc>
        <w:tc>
          <w:tcPr>
            <w:tcW w:w="1312" w:type="dxa"/>
            <w:tcBorders>
              <w:right w:val="nil"/>
            </w:tcBorders>
          </w:tcPr>
          <w:p w14:paraId="7EEC5E08" w14:textId="77777777" w:rsidR="009B2FD7" w:rsidRDefault="009B2FD7" w:rsidP="009B2FD7">
            <w:pPr>
              <w:pStyle w:val="tablerow1"/>
            </w:pPr>
            <w:r>
              <w:t>Vs Ireland</w:t>
            </w:r>
          </w:p>
        </w:tc>
      </w:tr>
      <w:tr w:rsidR="009B2FD7" w:rsidRPr="00E60B0F" w14:paraId="626D3FC8" w14:textId="77777777" w:rsidTr="009B2FD7">
        <w:trPr>
          <w:jc w:val="center"/>
        </w:trPr>
        <w:tc>
          <w:tcPr>
            <w:tcW w:w="1677" w:type="dxa"/>
            <w:tcBorders>
              <w:left w:val="nil"/>
              <w:bottom w:val="single" w:sz="4" w:space="0" w:color="auto"/>
            </w:tcBorders>
            <w:shd w:val="clear" w:color="auto" w:fill="92D050"/>
          </w:tcPr>
          <w:p w14:paraId="55A1FAAC" w14:textId="77777777" w:rsidR="009B2FD7" w:rsidRPr="00E60B0F" w:rsidRDefault="009B2FD7" w:rsidP="009B2FD7">
            <w:pPr>
              <w:pStyle w:val="tablerow1"/>
              <w:jc w:val="left"/>
            </w:pPr>
            <w:r>
              <w:t>Singapore</w:t>
            </w:r>
          </w:p>
        </w:tc>
        <w:tc>
          <w:tcPr>
            <w:tcW w:w="1232" w:type="dxa"/>
            <w:tcBorders>
              <w:bottom w:val="single" w:sz="4" w:space="0" w:color="auto"/>
            </w:tcBorders>
            <w:shd w:val="clear" w:color="auto" w:fill="92D050"/>
          </w:tcPr>
          <w:p w14:paraId="421A8F05" w14:textId="77777777" w:rsidR="009B2FD7" w:rsidRPr="00E60B0F" w:rsidRDefault="009B2FD7" w:rsidP="009B2FD7">
            <w:pPr>
              <w:pStyle w:val="tablerow1"/>
            </w:pPr>
            <w:r>
              <w:t>588</w:t>
            </w:r>
          </w:p>
        </w:tc>
        <w:tc>
          <w:tcPr>
            <w:tcW w:w="824" w:type="dxa"/>
            <w:tcBorders>
              <w:bottom w:val="single" w:sz="4" w:space="0" w:color="auto"/>
            </w:tcBorders>
            <w:shd w:val="clear" w:color="auto" w:fill="92D050"/>
          </w:tcPr>
          <w:p w14:paraId="0FED9A4C" w14:textId="77777777" w:rsidR="009B2FD7" w:rsidRPr="00E60B0F" w:rsidRDefault="009B2FD7" w:rsidP="009B2FD7">
            <w:pPr>
              <w:pStyle w:val="tablerow1"/>
            </w:pPr>
            <w:r>
              <w:t>3.0</w:t>
            </w:r>
          </w:p>
        </w:tc>
        <w:tc>
          <w:tcPr>
            <w:tcW w:w="1312" w:type="dxa"/>
            <w:tcBorders>
              <w:bottom w:val="single" w:sz="4" w:space="0" w:color="auto"/>
            </w:tcBorders>
            <w:shd w:val="clear" w:color="auto" w:fill="92D050"/>
          </w:tcPr>
          <w:p w14:paraId="2945032B" w14:textId="77777777" w:rsidR="009B2FD7" w:rsidRDefault="009B2FD7" w:rsidP="009B2FD7">
            <w:pPr>
              <w:pStyle w:val="tablerow1"/>
            </w:pPr>
            <w:r>
              <w:t>576</w:t>
            </w:r>
          </w:p>
        </w:tc>
        <w:tc>
          <w:tcPr>
            <w:tcW w:w="1312" w:type="dxa"/>
            <w:tcBorders>
              <w:bottom w:val="single" w:sz="4" w:space="0" w:color="auto"/>
              <w:right w:val="nil"/>
            </w:tcBorders>
            <w:shd w:val="clear" w:color="auto" w:fill="92D050"/>
          </w:tcPr>
          <w:p w14:paraId="57974CE1" w14:textId="77777777" w:rsidR="009B2FD7" w:rsidRPr="00907B3E" w:rsidRDefault="009B2FD7" w:rsidP="009B2FD7">
            <w:pPr>
              <w:pStyle w:val="tablerow1"/>
            </w:pPr>
            <w:r>
              <w:t>Higher</w:t>
            </w:r>
          </w:p>
        </w:tc>
      </w:tr>
      <w:tr w:rsidR="009B2FD7" w:rsidRPr="00E60B0F" w14:paraId="701B213B" w14:textId="77777777" w:rsidTr="009B2FD7">
        <w:trPr>
          <w:jc w:val="center"/>
        </w:trPr>
        <w:tc>
          <w:tcPr>
            <w:tcW w:w="1677" w:type="dxa"/>
            <w:tcBorders>
              <w:left w:val="nil"/>
              <w:bottom w:val="nil"/>
            </w:tcBorders>
            <w:shd w:val="clear" w:color="auto" w:fill="auto"/>
          </w:tcPr>
          <w:p w14:paraId="1434D904" w14:textId="77777777" w:rsidR="009B2FD7" w:rsidRPr="00E60B0F" w:rsidRDefault="009B2FD7" w:rsidP="009B2FD7">
            <w:pPr>
              <w:pStyle w:val="tablerow1"/>
              <w:jc w:val="left"/>
            </w:pPr>
            <w:r>
              <w:t>Norway (Grade 5)</w:t>
            </w:r>
          </w:p>
        </w:tc>
        <w:tc>
          <w:tcPr>
            <w:tcW w:w="1232" w:type="dxa"/>
            <w:tcBorders>
              <w:bottom w:val="nil"/>
            </w:tcBorders>
            <w:shd w:val="clear" w:color="auto" w:fill="auto"/>
          </w:tcPr>
          <w:p w14:paraId="4A761D82" w14:textId="77777777" w:rsidR="009B2FD7" w:rsidRPr="00E60B0F" w:rsidRDefault="009B2FD7" w:rsidP="009B2FD7">
            <w:pPr>
              <w:pStyle w:val="tablerow1"/>
            </w:pPr>
            <w:r>
              <w:t>568</w:t>
            </w:r>
          </w:p>
        </w:tc>
        <w:tc>
          <w:tcPr>
            <w:tcW w:w="824" w:type="dxa"/>
            <w:tcBorders>
              <w:bottom w:val="nil"/>
            </w:tcBorders>
            <w:shd w:val="clear" w:color="auto" w:fill="auto"/>
          </w:tcPr>
          <w:p w14:paraId="3056E0C4" w14:textId="77777777" w:rsidR="009B2FD7" w:rsidRPr="00E60B0F" w:rsidRDefault="009B2FD7" w:rsidP="009B2FD7">
            <w:pPr>
              <w:pStyle w:val="tablerow1"/>
            </w:pPr>
            <w:r>
              <w:t>2.2</w:t>
            </w:r>
          </w:p>
        </w:tc>
        <w:tc>
          <w:tcPr>
            <w:tcW w:w="1312" w:type="dxa"/>
            <w:tcBorders>
              <w:bottom w:val="nil"/>
            </w:tcBorders>
          </w:tcPr>
          <w:p w14:paraId="0FF97F32" w14:textId="77777777" w:rsidR="009B2FD7" w:rsidRPr="00907B3E" w:rsidRDefault="009B2FD7" w:rsidP="009B2FD7">
            <w:pPr>
              <w:pStyle w:val="tablerow1"/>
            </w:pPr>
            <w:r w:rsidRPr="00907B3E">
              <w:t>560</w:t>
            </w:r>
          </w:p>
        </w:tc>
        <w:tc>
          <w:tcPr>
            <w:tcW w:w="1312" w:type="dxa"/>
            <w:tcBorders>
              <w:bottom w:val="nil"/>
              <w:right w:val="nil"/>
            </w:tcBorders>
          </w:tcPr>
          <w:p w14:paraId="71915948" w14:textId="77777777" w:rsidR="009B2FD7" w:rsidRPr="00907B3E" w:rsidRDefault="009B2FD7" w:rsidP="009B2FD7">
            <w:pPr>
              <w:pStyle w:val="tablerow1"/>
            </w:pPr>
            <w:r>
              <w:t>Similar</w:t>
            </w:r>
          </w:p>
        </w:tc>
      </w:tr>
      <w:tr w:rsidR="009B2FD7" w:rsidRPr="00E60B0F" w14:paraId="4E677376" w14:textId="77777777" w:rsidTr="009B2FD7">
        <w:trPr>
          <w:jc w:val="center"/>
        </w:trPr>
        <w:tc>
          <w:tcPr>
            <w:tcW w:w="1677" w:type="dxa"/>
            <w:tcBorders>
              <w:top w:val="nil"/>
              <w:left w:val="nil"/>
            </w:tcBorders>
            <w:shd w:val="clear" w:color="auto" w:fill="auto"/>
          </w:tcPr>
          <w:p w14:paraId="5BD6BADC" w14:textId="77777777" w:rsidR="009B2FD7" w:rsidRPr="00C3305F" w:rsidRDefault="009B2FD7" w:rsidP="009B2FD7">
            <w:pPr>
              <w:pStyle w:val="tablerow1"/>
              <w:jc w:val="left"/>
              <w:rPr>
                <w:b/>
              </w:rPr>
            </w:pPr>
            <w:r w:rsidRPr="00C3305F">
              <w:rPr>
                <w:b/>
              </w:rPr>
              <w:t>Ireland</w:t>
            </w:r>
          </w:p>
        </w:tc>
        <w:tc>
          <w:tcPr>
            <w:tcW w:w="1232" w:type="dxa"/>
            <w:tcBorders>
              <w:top w:val="nil"/>
            </w:tcBorders>
            <w:shd w:val="clear" w:color="auto" w:fill="auto"/>
          </w:tcPr>
          <w:p w14:paraId="57CB6F73" w14:textId="77777777" w:rsidR="009B2FD7" w:rsidRPr="00C3305F" w:rsidRDefault="009B2FD7" w:rsidP="009B2FD7">
            <w:pPr>
              <w:pStyle w:val="tablerow1"/>
              <w:rPr>
                <w:b/>
              </w:rPr>
            </w:pPr>
            <w:r w:rsidRPr="00C3305F">
              <w:rPr>
                <w:b/>
              </w:rPr>
              <w:t>567</w:t>
            </w:r>
          </w:p>
        </w:tc>
        <w:tc>
          <w:tcPr>
            <w:tcW w:w="824" w:type="dxa"/>
            <w:tcBorders>
              <w:top w:val="nil"/>
            </w:tcBorders>
            <w:shd w:val="clear" w:color="auto" w:fill="auto"/>
          </w:tcPr>
          <w:p w14:paraId="327F6D57" w14:textId="77777777" w:rsidR="009B2FD7" w:rsidRPr="00E60B0F" w:rsidRDefault="009B2FD7" w:rsidP="009B2FD7">
            <w:pPr>
              <w:pStyle w:val="tablerow1"/>
            </w:pPr>
            <w:r>
              <w:t>2.5</w:t>
            </w:r>
          </w:p>
        </w:tc>
        <w:tc>
          <w:tcPr>
            <w:tcW w:w="1312" w:type="dxa"/>
            <w:tcBorders>
              <w:top w:val="nil"/>
            </w:tcBorders>
          </w:tcPr>
          <w:p w14:paraId="5D925EEC" w14:textId="77777777" w:rsidR="009B2FD7" w:rsidRPr="00E30663" w:rsidRDefault="009B2FD7" w:rsidP="009B2FD7">
            <w:pPr>
              <w:pStyle w:val="tablerow1"/>
            </w:pPr>
            <w:r w:rsidRPr="00E30663">
              <w:t>566</w:t>
            </w:r>
          </w:p>
        </w:tc>
        <w:tc>
          <w:tcPr>
            <w:tcW w:w="1312" w:type="dxa"/>
            <w:tcBorders>
              <w:top w:val="nil"/>
              <w:right w:val="nil"/>
            </w:tcBorders>
          </w:tcPr>
          <w:p w14:paraId="5350660A" w14:textId="77777777" w:rsidR="009B2FD7" w:rsidRPr="00E30663" w:rsidRDefault="009B2FD7" w:rsidP="009B2FD7">
            <w:pPr>
              <w:pStyle w:val="tablerow1"/>
              <w:jc w:val="left"/>
            </w:pPr>
          </w:p>
        </w:tc>
      </w:tr>
      <w:tr w:rsidR="009B2FD7" w:rsidRPr="00E60B0F" w14:paraId="761FDBFA" w14:textId="77777777" w:rsidTr="009B2FD7">
        <w:trPr>
          <w:jc w:val="center"/>
        </w:trPr>
        <w:tc>
          <w:tcPr>
            <w:tcW w:w="1677" w:type="dxa"/>
            <w:tcBorders>
              <w:left w:val="nil"/>
            </w:tcBorders>
            <w:shd w:val="clear" w:color="auto" w:fill="FFFF00"/>
          </w:tcPr>
          <w:p w14:paraId="71C549EF" w14:textId="77777777" w:rsidR="009B2FD7" w:rsidRPr="00C3305F" w:rsidRDefault="009B2FD7" w:rsidP="009B2FD7">
            <w:pPr>
              <w:pStyle w:val="tablerow1"/>
              <w:jc w:val="left"/>
            </w:pPr>
            <w:r w:rsidRPr="00C3305F">
              <w:t>Sweden</w:t>
            </w:r>
          </w:p>
        </w:tc>
        <w:tc>
          <w:tcPr>
            <w:tcW w:w="1232" w:type="dxa"/>
            <w:shd w:val="clear" w:color="auto" w:fill="FFFF00"/>
          </w:tcPr>
          <w:p w14:paraId="38B24E62" w14:textId="77777777" w:rsidR="009B2FD7" w:rsidRPr="003D1FF4" w:rsidRDefault="009B2FD7" w:rsidP="009B2FD7">
            <w:pPr>
              <w:pStyle w:val="tablerow1"/>
            </w:pPr>
            <w:r w:rsidRPr="003D1FF4">
              <w:t>559</w:t>
            </w:r>
          </w:p>
        </w:tc>
        <w:tc>
          <w:tcPr>
            <w:tcW w:w="824" w:type="dxa"/>
            <w:shd w:val="clear" w:color="auto" w:fill="FFFF00"/>
          </w:tcPr>
          <w:p w14:paraId="2B75E97C" w14:textId="77777777" w:rsidR="009B2FD7" w:rsidRPr="00E60B0F" w:rsidRDefault="009B2FD7" w:rsidP="009B2FD7">
            <w:pPr>
              <w:pStyle w:val="tablerow1"/>
            </w:pPr>
            <w:r>
              <w:t>2.3</w:t>
            </w:r>
          </w:p>
        </w:tc>
        <w:tc>
          <w:tcPr>
            <w:tcW w:w="1312" w:type="dxa"/>
            <w:shd w:val="clear" w:color="auto" w:fill="FFFF00"/>
          </w:tcPr>
          <w:p w14:paraId="658AF264" w14:textId="77777777" w:rsidR="009B2FD7" w:rsidRPr="00907B3E" w:rsidRDefault="009B2FD7" w:rsidP="009B2FD7">
            <w:pPr>
              <w:pStyle w:val="tablerow1"/>
            </w:pPr>
            <w:r w:rsidRPr="00907B3E">
              <w:t>555</w:t>
            </w:r>
          </w:p>
        </w:tc>
        <w:tc>
          <w:tcPr>
            <w:tcW w:w="1312" w:type="dxa"/>
            <w:tcBorders>
              <w:right w:val="nil"/>
            </w:tcBorders>
            <w:shd w:val="clear" w:color="auto" w:fill="FFFF00"/>
          </w:tcPr>
          <w:p w14:paraId="1E81D6F3" w14:textId="77777777" w:rsidR="009B2FD7" w:rsidRPr="00907B3E" w:rsidRDefault="009B2FD7" w:rsidP="009B2FD7">
            <w:pPr>
              <w:pStyle w:val="tablerow1"/>
            </w:pPr>
            <w:r>
              <w:t>Lower</w:t>
            </w:r>
          </w:p>
        </w:tc>
      </w:tr>
      <w:tr w:rsidR="009B2FD7" w:rsidRPr="00E60B0F" w14:paraId="06A065EE" w14:textId="77777777" w:rsidTr="009B2FD7">
        <w:trPr>
          <w:jc w:val="center"/>
        </w:trPr>
        <w:tc>
          <w:tcPr>
            <w:tcW w:w="1677" w:type="dxa"/>
            <w:tcBorders>
              <w:left w:val="nil"/>
            </w:tcBorders>
            <w:shd w:val="clear" w:color="auto" w:fill="FFFF00"/>
          </w:tcPr>
          <w:p w14:paraId="3F46EC66" w14:textId="77777777" w:rsidR="009B2FD7" w:rsidRPr="00E60B0F" w:rsidRDefault="009B2FD7" w:rsidP="009B2FD7">
            <w:pPr>
              <w:pStyle w:val="tablerow1"/>
              <w:jc w:val="left"/>
            </w:pPr>
            <w:r>
              <w:t>Denmark</w:t>
            </w:r>
          </w:p>
        </w:tc>
        <w:tc>
          <w:tcPr>
            <w:tcW w:w="1232" w:type="dxa"/>
            <w:shd w:val="clear" w:color="auto" w:fill="FFFF00"/>
          </w:tcPr>
          <w:p w14:paraId="1EE7D229" w14:textId="77777777" w:rsidR="009B2FD7" w:rsidRPr="00E60B0F" w:rsidRDefault="009B2FD7" w:rsidP="009B2FD7">
            <w:pPr>
              <w:pStyle w:val="tablerow1"/>
            </w:pPr>
            <w:r>
              <w:t>558</w:t>
            </w:r>
          </w:p>
        </w:tc>
        <w:tc>
          <w:tcPr>
            <w:tcW w:w="824" w:type="dxa"/>
            <w:shd w:val="clear" w:color="auto" w:fill="FFFF00"/>
          </w:tcPr>
          <w:p w14:paraId="3E761ED9" w14:textId="77777777" w:rsidR="009B2FD7" w:rsidRPr="00E60B0F" w:rsidRDefault="009B2FD7" w:rsidP="009B2FD7">
            <w:pPr>
              <w:pStyle w:val="tablerow1"/>
            </w:pPr>
            <w:r>
              <w:t>2.2</w:t>
            </w:r>
          </w:p>
        </w:tc>
        <w:tc>
          <w:tcPr>
            <w:tcW w:w="1312" w:type="dxa"/>
            <w:shd w:val="clear" w:color="auto" w:fill="FFFF00"/>
          </w:tcPr>
          <w:p w14:paraId="548A4E43" w14:textId="77777777" w:rsidR="009B2FD7" w:rsidRPr="00907B3E" w:rsidRDefault="009B2FD7" w:rsidP="009B2FD7">
            <w:pPr>
              <w:pStyle w:val="tablerow1"/>
            </w:pPr>
            <w:r w:rsidRPr="00907B3E">
              <w:t>548</w:t>
            </w:r>
          </w:p>
        </w:tc>
        <w:tc>
          <w:tcPr>
            <w:tcW w:w="1312" w:type="dxa"/>
            <w:tcBorders>
              <w:right w:val="nil"/>
            </w:tcBorders>
            <w:shd w:val="clear" w:color="auto" w:fill="FFFF00"/>
          </w:tcPr>
          <w:p w14:paraId="58E93B9A" w14:textId="77777777" w:rsidR="009B2FD7" w:rsidRPr="00907B3E" w:rsidRDefault="009B2FD7" w:rsidP="009B2FD7">
            <w:pPr>
              <w:pStyle w:val="tablerow1"/>
            </w:pPr>
            <w:r w:rsidRPr="000B3514">
              <w:t>Lower</w:t>
            </w:r>
          </w:p>
        </w:tc>
      </w:tr>
      <w:tr w:rsidR="009B2FD7" w:rsidRPr="00E60B0F" w14:paraId="252FFAB8" w14:textId="77777777" w:rsidTr="009B2FD7">
        <w:trPr>
          <w:jc w:val="center"/>
        </w:trPr>
        <w:tc>
          <w:tcPr>
            <w:tcW w:w="1677" w:type="dxa"/>
            <w:tcBorders>
              <w:left w:val="nil"/>
            </w:tcBorders>
            <w:shd w:val="clear" w:color="auto" w:fill="FFFF00"/>
          </w:tcPr>
          <w:p w14:paraId="52730CEA" w14:textId="77777777" w:rsidR="009B2FD7" w:rsidRDefault="009B2FD7" w:rsidP="009B2FD7">
            <w:pPr>
              <w:pStyle w:val="tablerow1"/>
              <w:jc w:val="left"/>
            </w:pPr>
            <w:r>
              <w:t>United States</w:t>
            </w:r>
          </w:p>
        </w:tc>
        <w:tc>
          <w:tcPr>
            <w:tcW w:w="1232" w:type="dxa"/>
            <w:shd w:val="clear" w:color="auto" w:fill="FFFF00"/>
          </w:tcPr>
          <w:p w14:paraId="22C3425A" w14:textId="77777777" w:rsidR="009B2FD7" w:rsidRPr="00E60B0F" w:rsidRDefault="009B2FD7" w:rsidP="009B2FD7">
            <w:pPr>
              <w:pStyle w:val="tablerow1"/>
            </w:pPr>
            <w:r>
              <w:t>557</w:t>
            </w:r>
          </w:p>
        </w:tc>
        <w:tc>
          <w:tcPr>
            <w:tcW w:w="824" w:type="dxa"/>
            <w:shd w:val="clear" w:color="auto" w:fill="FFFF00"/>
          </w:tcPr>
          <w:p w14:paraId="37D54C44" w14:textId="77777777" w:rsidR="009B2FD7" w:rsidRPr="00E60B0F" w:rsidRDefault="009B2FD7" w:rsidP="009B2FD7">
            <w:pPr>
              <w:pStyle w:val="tablerow1"/>
            </w:pPr>
            <w:r>
              <w:t>2.6</w:t>
            </w:r>
          </w:p>
        </w:tc>
        <w:tc>
          <w:tcPr>
            <w:tcW w:w="1312" w:type="dxa"/>
            <w:shd w:val="clear" w:color="auto" w:fill="FFFF00"/>
          </w:tcPr>
          <w:p w14:paraId="0CDB90D1" w14:textId="77777777" w:rsidR="009B2FD7" w:rsidRPr="00907B3E" w:rsidRDefault="009B2FD7" w:rsidP="009B2FD7">
            <w:pPr>
              <w:pStyle w:val="tablerow1"/>
            </w:pPr>
            <w:r w:rsidRPr="00907B3E">
              <w:t>550</w:t>
            </w:r>
          </w:p>
        </w:tc>
        <w:tc>
          <w:tcPr>
            <w:tcW w:w="1312" w:type="dxa"/>
            <w:tcBorders>
              <w:right w:val="nil"/>
            </w:tcBorders>
            <w:shd w:val="clear" w:color="auto" w:fill="FFFF00"/>
          </w:tcPr>
          <w:p w14:paraId="5E4F59AC" w14:textId="77777777" w:rsidR="009B2FD7" w:rsidRPr="00907B3E" w:rsidRDefault="009B2FD7" w:rsidP="009B2FD7">
            <w:pPr>
              <w:pStyle w:val="tablerow1"/>
            </w:pPr>
            <w:r w:rsidRPr="000B3514">
              <w:t>Lower</w:t>
            </w:r>
          </w:p>
        </w:tc>
      </w:tr>
      <w:tr w:rsidR="009B2FD7" w:rsidRPr="00E60B0F" w14:paraId="7ACA7878" w14:textId="77777777" w:rsidTr="009B2FD7">
        <w:trPr>
          <w:jc w:val="center"/>
        </w:trPr>
        <w:tc>
          <w:tcPr>
            <w:tcW w:w="1677" w:type="dxa"/>
            <w:tcBorders>
              <w:left w:val="nil"/>
            </w:tcBorders>
            <w:shd w:val="clear" w:color="auto" w:fill="FFFF00"/>
          </w:tcPr>
          <w:p w14:paraId="3CB23983" w14:textId="77777777" w:rsidR="009B2FD7" w:rsidRDefault="009B2FD7" w:rsidP="009B2FD7">
            <w:pPr>
              <w:pStyle w:val="tablerow1"/>
              <w:jc w:val="left"/>
            </w:pPr>
            <w:r>
              <w:t>Chinese Taipei</w:t>
            </w:r>
          </w:p>
        </w:tc>
        <w:tc>
          <w:tcPr>
            <w:tcW w:w="1232" w:type="dxa"/>
            <w:shd w:val="clear" w:color="auto" w:fill="FFFF00"/>
          </w:tcPr>
          <w:p w14:paraId="1C553A2C" w14:textId="77777777" w:rsidR="009B2FD7" w:rsidRPr="00E60B0F" w:rsidRDefault="009B2FD7" w:rsidP="009B2FD7">
            <w:pPr>
              <w:pStyle w:val="tablerow1"/>
            </w:pPr>
            <w:r>
              <w:t>546</w:t>
            </w:r>
          </w:p>
        </w:tc>
        <w:tc>
          <w:tcPr>
            <w:tcW w:w="824" w:type="dxa"/>
            <w:shd w:val="clear" w:color="auto" w:fill="FFFF00"/>
          </w:tcPr>
          <w:p w14:paraId="0CA56CD3" w14:textId="77777777" w:rsidR="009B2FD7" w:rsidRPr="00E60B0F" w:rsidRDefault="009B2FD7" w:rsidP="009B2FD7">
            <w:pPr>
              <w:pStyle w:val="tablerow1"/>
            </w:pPr>
            <w:r>
              <w:t>2.0</w:t>
            </w:r>
          </w:p>
        </w:tc>
        <w:tc>
          <w:tcPr>
            <w:tcW w:w="1312" w:type="dxa"/>
            <w:shd w:val="clear" w:color="auto" w:fill="FFFF00"/>
          </w:tcPr>
          <w:p w14:paraId="414C8F07" w14:textId="77777777" w:rsidR="009B2FD7" w:rsidRPr="00907B3E" w:rsidRDefault="009B2FD7" w:rsidP="009B2FD7">
            <w:pPr>
              <w:pStyle w:val="tablerow1"/>
            </w:pPr>
            <w:r w:rsidRPr="00907B3E">
              <w:t>559</w:t>
            </w:r>
          </w:p>
        </w:tc>
        <w:tc>
          <w:tcPr>
            <w:tcW w:w="1312" w:type="dxa"/>
            <w:tcBorders>
              <w:right w:val="nil"/>
            </w:tcBorders>
            <w:shd w:val="clear" w:color="auto" w:fill="FFFF00"/>
          </w:tcPr>
          <w:p w14:paraId="3117D81C" w14:textId="77777777" w:rsidR="009B2FD7" w:rsidRPr="00907B3E" w:rsidRDefault="009B2FD7" w:rsidP="009B2FD7">
            <w:pPr>
              <w:pStyle w:val="tablerow1"/>
            </w:pPr>
            <w:r w:rsidRPr="000B3514">
              <w:t>Lower</w:t>
            </w:r>
          </w:p>
        </w:tc>
      </w:tr>
      <w:tr w:rsidR="009B2FD7" w:rsidRPr="00E60B0F" w14:paraId="007C988A" w14:textId="77777777" w:rsidTr="009B2FD7">
        <w:trPr>
          <w:jc w:val="center"/>
        </w:trPr>
        <w:tc>
          <w:tcPr>
            <w:tcW w:w="1677" w:type="dxa"/>
            <w:tcBorders>
              <w:left w:val="nil"/>
            </w:tcBorders>
            <w:shd w:val="clear" w:color="auto" w:fill="FFFF00"/>
          </w:tcPr>
          <w:p w14:paraId="447C8CAE" w14:textId="77777777" w:rsidR="009B2FD7" w:rsidRDefault="009B2FD7" w:rsidP="009B2FD7">
            <w:pPr>
              <w:pStyle w:val="tablerow1"/>
              <w:jc w:val="left"/>
            </w:pPr>
            <w:r>
              <w:t>Canada</w:t>
            </w:r>
          </w:p>
        </w:tc>
        <w:tc>
          <w:tcPr>
            <w:tcW w:w="1232" w:type="dxa"/>
            <w:shd w:val="clear" w:color="auto" w:fill="FFFF00"/>
          </w:tcPr>
          <w:p w14:paraId="792DB710" w14:textId="77777777" w:rsidR="009B2FD7" w:rsidRPr="00E60B0F" w:rsidRDefault="009B2FD7" w:rsidP="009B2FD7">
            <w:pPr>
              <w:pStyle w:val="tablerow1"/>
            </w:pPr>
            <w:r>
              <w:t>543</w:t>
            </w:r>
          </w:p>
        </w:tc>
        <w:tc>
          <w:tcPr>
            <w:tcW w:w="824" w:type="dxa"/>
            <w:shd w:val="clear" w:color="auto" w:fill="FFFF00"/>
          </w:tcPr>
          <w:p w14:paraId="69D4E86E" w14:textId="77777777" w:rsidR="009B2FD7" w:rsidRPr="00E60B0F" w:rsidRDefault="009B2FD7" w:rsidP="009B2FD7">
            <w:pPr>
              <w:pStyle w:val="tablerow1"/>
            </w:pPr>
            <w:r>
              <w:t>3.2</w:t>
            </w:r>
          </w:p>
        </w:tc>
        <w:tc>
          <w:tcPr>
            <w:tcW w:w="1312" w:type="dxa"/>
            <w:shd w:val="clear" w:color="auto" w:fill="FFFF00"/>
          </w:tcPr>
          <w:p w14:paraId="27E5BB79" w14:textId="77777777" w:rsidR="009B2FD7" w:rsidRPr="00907B3E" w:rsidRDefault="009B2FD7" w:rsidP="009B2FD7">
            <w:pPr>
              <w:pStyle w:val="tablerow1"/>
            </w:pPr>
            <w:r w:rsidRPr="00907B3E">
              <w:t>543</w:t>
            </w:r>
          </w:p>
        </w:tc>
        <w:tc>
          <w:tcPr>
            <w:tcW w:w="1312" w:type="dxa"/>
            <w:tcBorders>
              <w:right w:val="nil"/>
            </w:tcBorders>
            <w:shd w:val="clear" w:color="auto" w:fill="FFFF00"/>
          </w:tcPr>
          <w:p w14:paraId="3355DFEF" w14:textId="77777777" w:rsidR="009B2FD7" w:rsidRPr="00907B3E" w:rsidRDefault="009B2FD7" w:rsidP="009B2FD7">
            <w:pPr>
              <w:pStyle w:val="tablerow1"/>
            </w:pPr>
            <w:r w:rsidRPr="000B3514">
              <w:t>Lower</w:t>
            </w:r>
          </w:p>
        </w:tc>
      </w:tr>
      <w:tr w:rsidR="009B2FD7" w:rsidRPr="00E60B0F" w14:paraId="1A2C6151" w14:textId="77777777" w:rsidTr="009B2FD7">
        <w:trPr>
          <w:jc w:val="center"/>
        </w:trPr>
        <w:tc>
          <w:tcPr>
            <w:tcW w:w="1677" w:type="dxa"/>
            <w:tcBorders>
              <w:left w:val="nil"/>
            </w:tcBorders>
            <w:shd w:val="clear" w:color="auto" w:fill="FFFF00"/>
          </w:tcPr>
          <w:p w14:paraId="46F488E6" w14:textId="77777777" w:rsidR="009B2FD7" w:rsidRDefault="009B2FD7" w:rsidP="009B2FD7">
            <w:pPr>
              <w:pStyle w:val="tablerow1"/>
              <w:jc w:val="left"/>
            </w:pPr>
            <w:r>
              <w:t>Israel</w:t>
            </w:r>
          </w:p>
        </w:tc>
        <w:tc>
          <w:tcPr>
            <w:tcW w:w="1232" w:type="dxa"/>
            <w:shd w:val="clear" w:color="auto" w:fill="FFFF00"/>
          </w:tcPr>
          <w:p w14:paraId="2E34C430" w14:textId="77777777" w:rsidR="009B2FD7" w:rsidRPr="00E60B0F" w:rsidRDefault="009B2FD7" w:rsidP="009B2FD7">
            <w:pPr>
              <w:pStyle w:val="tablerow1"/>
            </w:pPr>
            <w:r>
              <w:t>536</w:t>
            </w:r>
          </w:p>
        </w:tc>
        <w:tc>
          <w:tcPr>
            <w:tcW w:w="824" w:type="dxa"/>
            <w:shd w:val="clear" w:color="auto" w:fill="FFFF00"/>
          </w:tcPr>
          <w:p w14:paraId="39572235" w14:textId="77777777" w:rsidR="009B2FD7" w:rsidRPr="00E60B0F" w:rsidRDefault="009B2FD7" w:rsidP="009B2FD7">
            <w:pPr>
              <w:pStyle w:val="tablerow1"/>
            </w:pPr>
            <w:r>
              <w:t>2.3</w:t>
            </w:r>
          </w:p>
        </w:tc>
        <w:tc>
          <w:tcPr>
            <w:tcW w:w="1312" w:type="dxa"/>
            <w:shd w:val="clear" w:color="auto" w:fill="FFFF00"/>
          </w:tcPr>
          <w:p w14:paraId="5EC80AA4" w14:textId="77777777" w:rsidR="009B2FD7" w:rsidRPr="00907B3E" w:rsidRDefault="009B2FD7" w:rsidP="009B2FD7">
            <w:pPr>
              <w:pStyle w:val="tablerow1"/>
            </w:pPr>
            <w:r w:rsidRPr="00907B3E">
              <w:t>532</w:t>
            </w:r>
          </w:p>
        </w:tc>
        <w:tc>
          <w:tcPr>
            <w:tcW w:w="1312" w:type="dxa"/>
            <w:tcBorders>
              <w:right w:val="nil"/>
            </w:tcBorders>
            <w:shd w:val="clear" w:color="auto" w:fill="FFFF00"/>
          </w:tcPr>
          <w:p w14:paraId="3B4D290B" w14:textId="77777777" w:rsidR="009B2FD7" w:rsidRPr="00907B3E" w:rsidRDefault="009B2FD7" w:rsidP="009B2FD7">
            <w:pPr>
              <w:pStyle w:val="tablerow1"/>
            </w:pPr>
            <w:r w:rsidRPr="000B3514">
              <w:t>Lower</w:t>
            </w:r>
          </w:p>
        </w:tc>
      </w:tr>
      <w:tr w:rsidR="009B2FD7" w:rsidRPr="00E60B0F" w14:paraId="1E7579E3" w14:textId="77777777" w:rsidTr="009B2FD7">
        <w:trPr>
          <w:jc w:val="center"/>
        </w:trPr>
        <w:tc>
          <w:tcPr>
            <w:tcW w:w="1677" w:type="dxa"/>
            <w:tcBorders>
              <w:left w:val="nil"/>
            </w:tcBorders>
            <w:shd w:val="clear" w:color="auto" w:fill="FFFF00"/>
          </w:tcPr>
          <w:p w14:paraId="339E1D7E" w14:textId="77777777" w:rsidR="009B2FD7" w:rsidRDefault="009B2FD7" w:rsidP="009B2FD7">
            <w:pPr>
              <w:pStyle w:val="tablerow1"/>
              <w:jc w:val="left"/>
            </w:pPr>
            <w:r>
              <w:t>Italy</w:t>
            </w:r>
          </w:p>
        </w:tc>
        <w:tc>
          <w:tcPr>
            <w:tcW w:w="1232" w:type="dxa"/>
            <w:shd w:val="clear" w:color="auto" w:fill="FFFF00"/>
          </w:tcPr>
          <w:p w14:paraId="53DE4609" w14:textId="77777777" w:rsidR="009B2FD7" w:rsidRPr="00E60B0F" w:rsidRDefault="009B2FD7" w:rsidP="009B2FD7">
            <w:pPr>
              <w:pStyle w:val="tablerow1"/>
            </w:pPr>
            <w:r>
              <w:t>532</w:t>
            </w:r>
          </w:p>
        </w:tc>
        <w:tc>
          <w:tcPr>
            <w:tcW w:w="824" w:type="dxa"/>
            <w:shd w:val="clear" w:color="auto" w:fill="FFFF00"/>
          </w:tcPr>
          <w:p w14:paraId="1131AA41" w14:textId="77777777" w:rsidR="009B2FD7" w:rsidRPr="00E60B0F" w:rsidRDefault="009B2FD7" w:rsidP="009B2FD7">
            <w:pPr>
              <w:pStyle w:val="tablerow1"/>
            </w:pPr>
            <w:r>
              <w:t>2.1</w:t>
            </w:r>
          </w:p>
        </w:tc>
        <w:tc>
          <w:tcPr>
            <w:tcW w:w="1312" w:type="dxa"/>
            <w:shd w:val="clear" w:color="auto" w:fill="FFFF00"/>
          </w:tcPr>
          <w:p w14:paraId="395D3111" w14:textId="77777777" w:rsidR="009B2FD7" w:rsidRPr="00907B3E" w:rsidRDefault="009B2FD7" w:rsidP="009B2FD7">
            <w:pPr>
              <w:pStyle w:val="tablerow1"/>
            </w:pPr>
            <w:r w:rsidRPr="00907B3E">
              <w:t>548</w:t>
            </w:r>
          </w:p>
        </w:tc>
        <w:tc>
          <w:tcPr>
            <w:tcW w:w="1312" w:type="dxa"/>
            <w:tcBorders>
              <w:right w:val="nil"/>
            </w:tcBorders>
            <w:shd w:val="clear" w:color="auto" w:fill="FFFF00"/>
          </w:tcPr>
          <w:p w14:paraId="47302E85" w14:textId="77777777" w:rsidR="009B2FD7" w:rsidRPr="00907B3E" w:rsidRDefault="009B2FD7" w:rsidP="009B2FD7">
            <w:pPr>
              <w:pStyle w:val="tablerow1"/>
            </w:pPr>
            <w:r w:rsidRPr="000B3514">
              <w:t>Lower</w:t>
            </w:r>
          </w:p>
        </w:tc>
      </w:tr>
      <w:tr w:rsidR="009B2FD7" w:rsidRPr="00E60B0F" w14:paraId="1EF6115A" w14:textId="77777777" w:rsidTr="009B2FD7">
        <w:trPr>
          <w:jc w:val="center"/>
        </w:trPr>
        <w:tc>
          <w:tcPr>
            <w:tcW w:w="1677" w:type="dxa"/>
            <w:tcBorders>
              <w:left w:val="nil"/>
            </w:tcBorders>
            <w:shd w:val="clear" w:color="auto" w:fill="FFFF00"/>
          </w:tcPr>
          <w:p w14:paraId="1BD1BD94" w14:textId="77777777" w:rsidR="009B2FD7" w:rsidRDefault="009B2FD7" w:rsidP="009B2FD7">
            <w:pPr>
              <w:pStyle w:val="tablerow1"/>
              <w:jc w:val="left"/>
            </w:pPr>
            <w:r>
              <w:t>Slovenia</w:t>
            </w:r>
          </w:p>
        </w:tc>
        <w:tc>
          <w:tcPr>
            <w:tcW w:w="1232" w:type="dxa"/>
            <w:shd w:val="clear" w:color="auto" w:fill="FFFF00"/>
          </w:tcPr>
          <w:p w14:paraId="58628E83" w14:textId="77777777" w:rsidR="009B2FD7" w:rsidRPr="00E60B0F" w:rsidRDefault="009B2FD7" w:rsidP="009B2FD7">
            <w:pPr>
              <w:pStyle w:val="tablerow1"/>
            </w:pPr>
            <w:r>
              <w:t>525</w:t>
            </w:r>
          </w:p>
        </w:tc>
        <w:tc>
          <w:tcPr>
            <w:tcW w:w="824" w:type="dxa"/>
            <w:shd w:val="clear" w:color="auto" w:fill="FFFF00"/>
          </w:tcPr>
          <w:p w14:paraId="580216D3" w14:textId="77777777" w:rsidR="009B2FD7" w:rsidRPr="00E60B0F" w:rsidRDefault="009B2FD7" w:rsidP="009B2FD7">
            <w:pPr>
              <w:pStyle w:val="tablerow1"/>
            </w:pPr>
            <w:r>
              <w:t>1.9</w:t>
            </w:r>
          </w:p>
        </w:tc>
        <w:tc>
          <w:tcPr>
            <w:tcW w:w="1312" w:type="dxa"/>
            <w:shd w:val="clear" w:color="auto" w:fill="FFFF00"/>
          </w:tcPr>
          <w:p w14:paraId="63327152" w14:textId="77777777" w:rsidR="009B2FD7" w:rsidRPr="00907B3E" w:rsidRDefault="009B2FD7" w:rsidP="009B2FD7">
            <w:pPr>
              <w:pStyle w:val="tablerow1"/>
            </w:pPr>
            <w:r w:rsidRPr="00907B3E">
              <w:t>543</w:t>
            </w:r>
          </w:p>
        </w:tc>
        <w:tc>
          <w:tcPr>
            <w:tcW w:w="1312" w:type="dxa"/>
            <w:tcBorders>
              <w:right w:val="nil"/>
            </w:tcBorders>
            <w:shd w:val="clear" w:color="auto" w:fill="FFFF00"/>
          </w:tcPr>
          <w:p w14:paraId="21323A5F" w14:textId="77777777" w:rsidR="009B2FD7" w:rsidRPr="00907B3E" w:rsidRDefault="009B2FD7" w:rsidP="009B2FD7">
            <w:pPr>
              <w:pStyle w:val="tablerow1"/>
            </w:pPr>
            <w:r w:rsidRPr="000B3514">
              <w:t>Lower</w:t>
            </w:r>
          </w:p>
        </w:tc>
      </w:tr>
      <w:tr w:rsidR="009B2FD7" w:rsidRPr="00E60B0F" w14:paraId="35CC1382" w14:textId="77777777" w:rsidTr="009B2FD7">
        <w:trPr>
          <w:jc w:val="center"/>
        </w:trPr>
        <w:tc>
          <w:tcPr>
            <w:tcW w:w="1677" w:type="dxa"/>
            <w:tcBorders>
              <w:left w:val="nil"/>
            </w:tcBorders>
            <w:shd w:val="clear" w:color="auto" w:fill="FFFF00"/>
          </w:tcPr>
          <w:p w14:paraId="61045E12" w14:textId="77777777" w:rsidR="009B2FD7" w:rsidRDefault="009B2FD7" w:rsidP="009B2FD7">
            <w:pPr>
              <w:pStyle w:val="tablerow1"/>
              <w:jc w:val="left"/>
            </w:pPr>
            <w:r>
              <w:t>Portugal</w:t>
            </w:r>
          </w:p>
        </w:tc>
        <w:tc>
          <w:tcPr>
            <w:tcW w:w="1232" w:type="dxa"/>
            <w:shd w:val="clear" w:color="auto" w:fill="FFFF00"/>
          </w:tcPr>
          <w:p w14:paraId="7F99B11A" w14:textId="77777777" w:rsidR="009B2FD7" w:rsidRPr="00E60B0F" w:rsidRDefault="009B2FD7" w:rsidP="009B2FD7">
            <w:pPr>
              <w:pStyle w:val="tablerow1"/>
            </w:pPr>
            <w:r>
              <w:t>522</w:t>
            </w:r>
          </w:p>
        </w:tc>
        <w:tc>
          <w:tcPr>
            <w:tcW w:w="824" w:type="dxa"/>
            <w:shd w:val="clear" w:color="auto" w:fill="FFFF00"/>
          </w:tcPr>
          <w:p w14:paraId="462C271C" w14:textId="77777777" w:rsidR="009B2FD7" w:rsidRPr="00E60B0F" w:rsidRDefault="009B2FD7" w:rsidP="009B2FD7">
            <w:pPr>
              <w:pStyle w:val="tablerow1"/>
            </w:pPr>
            <w:r>
              <w:t>2.2</w:t>
            </w:r>
          </w:p>
        </w:tc>
        <w:tc>
          <w:tcPr>
            <w:tcW w:w="1312" w:type="dxa"/>
            <w:shd w:val="clear" w:color="auto" w:fill="FFFF00"/>
          </w:tcPr>
          <w:p w14:paraId="26E52FF8" w14:textId="77777777" w:rsidR="009B2FD7" w:rsidRPr="00907B3E" w:rsidRDefault="009B2FD7" w:rsidP="009B2FD7">
            <w:pPr>
              <w:pStyle w:val="tablerow1"/>
            </w:pPr>
            <w:r w:rsidRPr="00907B3E">
              <w:t>528</w:t>
            </w:r>
          </w:p>
        </w:tc>
        <w:tc>
          <w:tcPr>
            <w:tcW w:w="1312" w:type="dxa"/>
            <w:tcBorders>
              <w:right w:val="nil"/>
            </w:tcBorders>
            <w:shd w:val="clear" w:color="auto" w:fill="FFFF00"/>
          </w:tcPr>
          <w:p w14:paraId="416E0BEB" w14:textId="77777777" w:rsidR="009B2FD7" w:rsidRPr="00907B3E" w:rsidRDefault="009B2FD7" w:rsidP="009B2FD7">
            <w:pPr>
              <w:pStyle w:val="tablerow1"/>
            </w:pPr>
            <w:r w:rsidRPr="000B3514">
              <w:t>Lower</w:t>
            </w:r>
          </w:p>
        </w:tc>
      </w:tr>
      <w:tr w:rsidR="009B2FD7" w:rsidRPr="00E60B0F" w14:paraId="58D7D497" w14:textId="77777777" w:rsidTr="009B2FD7">
        <w:trPr>
          <w:jc w:val="center"/>
        </w:trPr>
        <w:tc>
          <w:tcPr>
            <w:tcW w:w="1677" w:type="dxa"/>
            <w:tcBorders>
              <w:left w:val="nil"/>
            </w:tcBorders>
            <w:shd w:val="clear" w:color="auto" w:fill="FFFF00"/>
          </w:tcPr>
          <w:p w14:paraId="71153399" w14:textId="77777777" w:rsidR="009B2FD7" w:rsidRDefault="009B2FD7" w:rsidP="009B2FD7">
            <w:pPr>
              <w:pStyle w:val="tablerow1"/>
              <w:jc w:val="left"/>
            </w:pPr>
            <w:r>
              <w:t>Georgia</w:t>
            </w:r>
          </w:p>
        </w:tc>
        <w:tc>
          <w:tcPr>
            <w:tcW w:w="1232" w:type="dxa"/>
            <w:shd w:val="clear" w:color="auto" w:fill="FFFF00"/>
          </w:tcPr>
          <w:p w14:paraId="55695876" w14:textId="77777777" w:rsidR="009B2FD7" w:rsidRPr="00E60B0F" w:rsidRDefault="009B2FD7" w:rsidP="009B2FD7">
            <w:pPr>
              <w:pStyle w:val="tablerow1"/>
            </w:pPr>
            <w:r>
              <w:t>477</w:t>
            </w:r>
          </w:p>
        </w:tc>
        <w:tc>
          <w:tcPr>
            <w:tcW w:w="824" w:type="dxa"/>
            <w:shd w:val="clear" w:color="auto" w:fill="FFFF00"/>
          </w:tcPr>
          <w:p w14:paraId="457385A7" w14:textId="77777777" w:rsidR="009B2FD7" w:rsidRPr="00E60B0F" w:rsidRDefault="009B2FD7" w:rsidP="009B2FD7">
            <w:pPr>
              <w:pStyle w:val="tablerow1"/>
            </w:pPr>
            <w:r>
              <w:t>3.3</w:t>
            </w:r>
          </w:p>
        </w:tc>
        <w:tc>
          <w:tcPr>
            <w:tcW w:w="1312" w:type="dxa"/>
            <w:shd w:val="clear" w:color="auto" w:fill="FFFF00"/>
          </w:tcPr>
          <w:p w14:paraId="7BDB28E3" w14:textId="77777777" w:rsidR="009B2FD7" w:rsidRPr="00907B3E" w:rsidRDefault="009B2FD7" w:rsidP="009B2FD7">
            <w:pPr>
              <w:pStyle w:val="tablerow1"/>
            </w:pPr>
            <w:r w:rsidRPr="00907B3E">
              <w:t>489</w:t>
            </w:r>
          </w:p>
        </w:tc>
        <w:tc>
          <w:tcPr>
            <w:tcW w:w="1312" w:type="dxa"/>
            <w:tcBorders>
              <w:right w:val="nil"/>
            </w:tcBorders>
            <w:shd w:val="clear" w:color="auto" w:fill="FFFF00"/>
          </w:tcPr>
          <w:p w14:paraId="21BC88C6" w14:textId="77777777" w:rsidR="009B2FD7" w:rsidRPr="00907B3E" w:rsidRDefault="009B2FD7" w:rsidP="009B2FD7">
            <w:pPr>
              <w:pStyle w:val="tablerow1"/>
            </w:pPr>
            <w:r w:rsidRPr="000B3514">
              <w:t>Lower</w:t>
            </w:r>
          </w:p>
        </w:tc>
      </w:tr>
      <w:tr w:rsidR="009B2FD7" w:rsidRPr="00E60B0F" w14:paraId="45826CCA" w14:textId="77777777" w:rsidTr="009B2FD7">
        <w:trPr>
          <w:jc w:val="center"/>
        </w:trPr>
        <w:tc>
          <w:tcPr>
            <w:tcW w:w="1677" w:type="dxa"/>
            <w:tcBorders>
              <w:left w:val="nil"/>
            </w:tcBorders>
            <w:shd w:val="clear" w:color="auto" w:fill="FFFF00"/>
          </w:tcPr>
          <w:p w14:paraId="6B039BB0" w14:textId="77777777" w:rsidR="009B2FD7" w:rsidRDefault="009B2FD7" w:rsidP="009B2FD7">
            <w:pPr>
              <w:pStyle w:val="tablerow1"/>
              <w:jc w:val="left"/>
            </w:pPr>
            <w:r>
              <w:t>United Arab Emirates</w:t>
            </w:r>
          </w:p>
        </w:tc>
        <w:tc>
          <w:tcPr>
            <w:tcW w:w="1232" w:type="dxa"/>
            <w:shd w:val="clear" w:color="auto" w:fill="FFFF00"/>
          </w:tcPr>
          <w:p w14:paraId="0478B24A" w14:textId="77777777" w:rsidR="009B2FD7" w:rsidRPr="00E60B0F" w:rsidRDefault="009B2FD7" w:rsidP="009B2FD7">
            <w:pPr>
              <w:pStyle w:val="tablerow1"/>
            </w:pPr>
            <w:r>
              <w:t>468</w:t>
            </w:r>
          </w:p>
        </w:tc>
        <w:tc>
          <w:tcPr>
            <w:tcW w:w="824" w:type="dxa"/>
            <w:shd w:val="clear" w:color="auto" w:fill="FFFF00"/>
          </w:tcPr>
          <w:p w14:paraId="255C8465" w14:textId="77777777" w:rsidR="009B2FD7" w:rsidRPr="00E60B0F" w:rsidRDefault="009B2FD7" w:rsidP="009B2FD7">
            <w:pPr>
              <w:pStyle w:val="tablerow1"/>
            </w:pPr>
            <w:r>
              <w:t>2.2</w:t>
            </w:r>
          </w:p>
        </w:tc>
        <w:tc>
          <w:tcPr>
            <w:tcW w:w="1312" w:type="dxa"/>
            <w:shd w:val="clear" w:color="auto" w:fill="FFFF00"/>
          </w:tcPr>
          <w:p w14:paraId="694FE36A" w14:textId="77777777" w:rsidR="009B2FD7" w:rsidRDefault="009B2FD7" w:rsidP="009B2FD7">
            <w:pPr>
              <w:pStyle w:val="tablerow1"/>
            </w:pPr>
            <w:r>
              <w:t>451</w:t>
            </w:r>
          </w:p>
        </w:tc>
        <w:tc>
          <w:tcPr>
            <w:tcW w:w="1312" w:type="dxa"/>
            <w:tcBorders>
              <w:right w:val="nil"/>
            </w:tcBorders>
            <w:shd w:val="clear" w:color="auto" w:fill="FFFF00"/>
          </w:tcPr>
          <w:p w14:paraId="38D459B6" w14:textId="77777777" w:rsidR="009B2FD7" w:rsidRPr="00907B3E" w:rsidRDefault="009B2FD7" w:rsidP="009B2FD7">
            <w:pPr>
              <w:pStyle w:val="tablerow1"/>
            </w:pPr>
            <w:r>
              <w:t>Lower</w:t>
            </w:r>
          </w:p>
        </w:tc>
      </w:tr>
    </w:tbl>
    <w:p w14:paraId="37945AC6" w14:textId="77777777" w:rsidR="009B2FD7" w:rsidRDefault="009B2FD7" w:rsidP="00E06A8A">
      <w:pPr>
        <w:pStyle w:val="tablenote"/>
        <w:ind w:left="284"/>
      </w:pPr>
      <w:r>
        <w:rPr>
          <w:vertAlign w:val="superscript"/>
        </w:rPr>
        <w:t xml:space="preserve">1 </w:t>
      </w:r>
      <w:r>
        <w:t xml:space="preserve">Means shown are based only on pupils who participated in </w:t>
      </w:r>
      <w:r w:rsidRPr="00907B3E">
        <w:rPr>
          <w:b/>
        </w:rPr>
        <w:t xml:space="preserve">both </w:t>
      </w:r>
      <w:r>
        <w:t>PIRLS and ePIRLS. They may differ slightly from means based on the full PIRLS dataset.</w:t>
      </w:r>
      <w:r w:rsidR="00E06A8A">
        <w:t xml:space="preserve">   </w:t>
      </w:r>
      <w:r>
        <w:t xml:space="preserve">e.g., Irish PIRLS mean of 566 is based on the PIRLS score of the 2473 pupils who completed PIRLS </w:t>
      </w:r>
      <w:r w:rsidRPr="009B2FD7">
        <w:rPr>
          <w:b/>
        </w:rPr>
        <w:t>and</w:t>
      </w:r>
      <w:r>
        <w:t xml:space="preserve"> ePIRLS, not the total 4607 Irish pupils who completed PIRLS. </w:t>
      </w:r>
    </w:p>
    <w:p w14:paraId="516B2C27" w14:textId="77777777" w:rsidR="00A27626" w:rsidRPr="00107BBB" w:rsidRDefault="00A27626">
      <w:pPr>
        <w:rPr>
          <w:rFonts w:cs="Times New Roman"/>
          <w:sz w:val="24"/>
          <w:szCs w:val="24"/>
        </w:rPr>
      </w:pPr>
    </w:p>
    <w:sectPr w:rsidR="00A27626" w:rsidRPr="00107BBB" w:rsidSect="00DE2238">
      <w:foot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17A9C" w14:textId="77777777" w:rsidR="00CB25AD" w:rsidRDefault="00CB25AD" w:rsidP="003B483F">
      <w:pPr>
        <w:spacing w:after="0" w:line="240" w:lineRule="auto"/>
      </w:pPr>
      <w:r>
        <w:separator/>
      </w:r>
    </w:p>
    <w:p w14:paraId="26F96866" w14:textId="77777777" w:rsidR="00CB25AD" w:rsidRDefault="00CB25AD"/>
    <w:p w14:paraId="4926CD99" w14:textId="77777777" w:rsidR="00CB25AD" w:rsidRDefault="00CB25AD" w:rsidP="00496131"/>
  </w:endnote>
  <w:endnote w:type="continuationSeparator" w:id="0">
    <w:p w14:paraId="4D1D506D" w14:textId="77777777" w:rsidR="00CB25AD" w:rsidRDefault="00CB25AD" w:rsidP="003B483F">
      <w:pPr>
        <w:spacing w:after="0" w:line="240" w:lineRule="auto"/>
      </w:pPr>
      <w:r>
        <w:continuationSeparator/>
      </w:r>
    </w:p>
    <w:p w14:paraId="78A33AF0" w14:textId="77777777" w:rsidR="00CB25AD" w:rsidRDefault="00CB25AD"/>
    <w:p w14:paraId="2919051F" w14:textId="77777777" w:rsidR="00CB25AD" w:rsidRDefault="00CB25AD" w:rsidP="00496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649875"/>
      <w:docPartObj>
        <w:docPartGallery w:val="Page Numbers (Bottom of Page)"/>
        <w:docPartUnique/>
      </w:docPartObj>
    </w:sdtPr>
    <w:sdtEndPr>
      <w:rPr>
        <w:noProof/>
      </w:rPr>
    </w:sdtEndPr>
    <w:sdtContent>
      <w:p w14:paraId="2C4AFB23" w14:textId="77777777" w:rsidR="00DB121E" w:rsidRDefault="00DB121E">
        <w:pPr>
          <w:pStyle w:val="Footer"/>
          <w:jc w:val="center"/>
        </w:pPr>
        <w:r>
          <w:fldChar w:fldCharType="begin"/>
        </w:r>
        <w:r>
          <w:instrText xml:space="preserve"> PAGE   \* MERGEFORMAT </w:instrText>
        </w:r>
        <w:r>
          <w:fldChar w:fldCharType="separate"/>
        </w:r>
        <w:r w:rsidR="00D019E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B2B6D" w14:textId="77777777" w:rsidR="00CB25AD" w:rsidRDefault="00CB25AD" w:rsidP="003B483F">
      <w:pPr>
        <w:spacing w:after="0" w:line="240" w:lineRule="auto"/>
      </w:pPr>
      <w:r>
        <w:separator/>
      </w:r>
    </w:p>
    <w:p w14:paraId="023DB03F" w14:textId="77777777" w:rsidR="00CB25AD" w:rsidRDefault="00CB25AD"/>
    <w:p w14:paraId="139F047B" w14:textId="77777777" w:rsidR="00CB25AD" w:rsidRDefault="00CB25AD" w:rsidP="00496131"/>
  </w:footnote>
  <w:footnote w:type="continuationSeparator" w:id="0">
    <w:p w14:paraId="5FD79913" w14:textId="77777777" w:rsidR="00CB25AD" w:rsidRDefault="00CB25AD" w:rsidP="003B483F">
      <w:pPr>
        <w:spacing w:after="0" w:line="240" w:lineRule="auto"/>
      </w:pPr>
      <w:r>
        <w:continuationSeparator/>
      </w:r>
    </w:p>
    <w:p w14:paraId="6D1856B9" w14:textId="77777777" w:rsidR="00CB25AD" w:rsidRDefault="00CB25AD"/>
    <w:p w14:paraId="59C3FBD4" w14:textId="77777777" w:rsidR="00CB25AD" w:rsidRDefault="00CB25AD" w:rsidP="004961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D8C18" w14:textId="77777777" w:rsidR="00DB121E" w:rsidRDefault="00DB121E" w:rsidP="000435EB">
    <w:pPr>
      <w:pStyle w:val="Header"/>
      <w:tabs>
        <w:tab w:val="clear" w:pos="4513"/>
        <w:tab w:val="clear" w:pos="9026"/>
        <w:tab w:val="left" w:pos="2790"/>
        <w:tab w:val="left" w:pos="3720"/>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E151E"/>
    <w:multiLevelType w:val="hybridMultilevel"/>
    <w:tmpl w:val="957AD6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8102AB"/>
    <w:multiLevelType w:val="hybridMultilevel"/>
    <w:tmpl w:val="5AF6E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1D4398"/>
    <w:multiLevelType w:val="hybridMultilevel"/>
    <w:tmpl w:val="9FB694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15913"/>
    <w:multiLevelType w:val="hybridMultilevel"/>
    <w:tmpl w:val="D3CCB702"/>
    <w:lvl w:ilvl="0" w:tplc="5F62C0A4">
      <w:start w:val="1"/>
      <w:numFmt w:val="bullet"/>
      <w:lvlText w:val=""/>
      <w:lvlJc w:val="left"/>
      <w:pPr>
        <w:ind w:left="786" w:hanging="360"/>
      </w:pPr>
      <w:rPr>
        <w:rFonts w:ascii="Symbol" w:hAnsi="Symbol" w:hint="default"/>
        <w:sz w:val="24"/>
        <w:szCs w:val="24"/>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4" w15:restartNumberingAfterBreak="0">
    <w:nsid w:val="0C584760"/>
    <w:multiLevelType w:val="hybridMultilevel"/>
    <w:tmpl w:val="F8CEA0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8C75CB"/>
    <w:multiLevelType w:val="hybridMultilevel"/>
    <w:tmpl w:val="68CE1A34"/>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6" w15:restartNumberingAfterBreak="0">
    <w:nsid w:val="0F2B1D08"/>
    <w:multiLevelType w:val="hybridMultilevel"/>
    <w:tmpl w:val="CDC8031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361DD4"/>
    <w:multiLevelType w:val="hybridMultilevel"/>
    <w:tmpl w:val="AE50A6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845C57"/>
    <w:multiLevelType w:val="hybridMultilevel"/>
    <w:tmpl w:val="60C29226"/>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9" w15:restartNumberingAfterBreak="0">
    <w:nsid w:val="23FD6883"/>
    <w:multiLevelType w:val="hybridMultilevel"/>
    <w:tmpl w:val="A35CAE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183BEC"/>
    <w:multiLevelType w:val="hybridMultilevel"/>
    <w:tmpl w:val="FFA28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4E31449"/>
    <w:multiLevelType w:val="hybridMultilevel"/>
    <w:tmpl w:val="C944E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E615BD7"/>
    <w:multiLevelType w:val="hybridMultilevel"/>
    <w:tmpl w:val="2736C6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561520A"/>
    <w:multiLevelType w:val="hybridMultilevel"/>
    <w:tmpl w:val="46685E4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5797A5E"/>
    <w:multiLevelType w:val="hybridMultilevel"/>
    <w:tmpl w:val="F4ECCB1E"/>
    <w:lvl w:ilvl="0" w:tplc="EF70584C">
      <w:numFmt w:val="bullet"/>
      <w:lvlText w:val="-"/>
      <w:lvlJc w:val="left"/>
      <w:pPr>
        <w:ind w:left="218" w:hanging="360"/>
      </w:pPr>
      <w:rPr>
        <w:rFonts w:ascii="Calibri" w:eastAsiaTheme="minorHAnsi" w:hAnsi="Calibri" w:cs="Times New Roman" w:hint="default"/>
      </w:rPr>
    </w:lvl>
    <w:lvl w:ilvl="1" w:tplc="18090003" w:tentative="1">
      <w:start w:val="1"/>
      <w:numFmt w:val="bullet"/>
      <w:lvlText w:val="o"/>
      <w:lvlJc w:val="left"/>
      <w:pPr>
        <w:ind w:left="938" w:hanging="360"/>
      </w:pPr>
      <w:rPr>
        <w:rFonts w:ascii="Courier New" w:hAnsi="Courier New" w:cs="Courier New" w:hint="default"/>
      </w:rPr>
    </w:lvl>
    <w:lvl w:ilvl="2" w:tplc="18090005" w:tentative="1">
      <w:start w:val="1"/>
      <w:numFmt w:val="bullet"/>
      <w:lvlText w:val=""/>
      <w:lvlJc w:val="left"/>
      <w:pPr>
        <w:ind w:left="1658" w:hanging="360"/>
      </w:pPr>
      <w:rPr>
        <w:rFonts w:ascii="Wingdings" w:hAnsi="Wingdings" w:hint="default"/>
      </w:rPr>
    </w:lvl>
    <w:lvl w:ilvl="3" w:tplc="18090001" w:tentative="1">
      <w:start w:val="1"/>
      <w:numFmt w:val="bullet"/>
      <w:lvlText w:val=""/>
      <w:lvlJc w:val="left"/>
      <w:pPr>
        <w:ind w:left="2378" w:hanging="360"/>
      </w:pPr>
      <w:rPr>
        <w:rFonts w:ascii="Symbol" w:hAnsi="Symbol" w:hint="default"/>
      </w:rPr>
    </w:lvl>
    <w:lvl w:ilvl="4" w:tplc="18090003" w:tentative="1">
      <w:start w:val="1"/>
      <w:numFmt w:val="bullet"/>
      <w:lvlText w:val="o"/>
      <w:lvlJc w:val="left"/>
      <w:pPr>
        <w:ind w:left="3098" w:hanging="360"/>
      </w:pPr>
      <w:rPr>
        <w:rFonts w:ascii="Courier New" w:hAnsi="Courier New" w:cs="Courier New" w:hint="default"/>
      </w:rPr>
    </w:lvl>
    <w:lvl w:ilvl="5" w:tplc="18090005" w:tentative="1">
      <w:start w:val="1"/>
      <w:numFmt w:val="bullet"/>
      <w:lvlText w:val=""/>
      <w:lvlJc w:val="left"/>
      <w:pPr>
        <w:ind w:left="3818" w:hanging="360"/>
      </w:pPr>
      <w:rPr>
        <w:rFonts w:ascii="Wingdings" w:hAnsi="Wingdings" w:hint="default"/>
      </w:rPr>
    </w:lvl>
    <w:lvl w:ilvl="6" w:tplc="18090001" w:tentative="1">
      <w:start w:val="1"/>
      <w:numFmt w:val="bullet"/>
      <w:lvlText w:val=""/>
      <w:lvlJc w:val="left"/>
      <w:pPr>
        <w:ind w:left="4538" w:hanging="360"/>
      </w:pPr>
      <w:rPr>
        <w:rFonts w:ascii="Symbol" w:hAnsi="Symbol" w:hint="default"/>
      </w:rPr>
    </w:lvl>
    <w:lvl w:ilvl="7" w:tplc="18090003" w:tentative="1">
      <w:start w:val="1"/>
      <w:numFmt w:val="bullet"/>
      <w:lvlText w:val="o"/>
      <w:lvlJc w:val="left"/>
      <w:pPr>
        <w:ind w:left="5258" w:hanging="360"/>
      </w:pPr>
      <w:rPr>
        <w:rFonts w:ascii="Courier New" w:hAnsi="Courier New" w:cs="Courier New" w:hint="default"/>
      </w:rPr>
    </w:lvl>
    <w:lvl w:ilvl="8" w:tplc="18090005" w:tentative="1">
      <w:start w:val="1"/>
      <w:numFmt w:val="bullet"/>
      <w:lvlText w:val=""/>
      <w:lvlJc w:val="left"/>
      <w:pPr>
        <w:ind w:left="5978" w:hanging="360"/>
      </w:pPr>
      <w:rPr>
        <w:rFonts w:ascii="Wingdings" w:hAnsi="Wingdings" w:hint="default"/>
      </w:rPr>
    </w:lvl>
  </w:abstractNum>
  <w:abstractNum w:abstractNumId="15" w15:restartNumberingAfterBreak="0">
    <w:nsid w:val="488276BA"/>
    <w:multiLevelType w:val="hybridMultilevel"/>
    <w:tmpl w:val="22509D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1F31710"/>
    <w:multiLevelType w:val="hybridMultilevel"/>
    <w:tmpl w:val="100CEE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3F93339"/>
    <w:multiLevelType w:val="hybridMultilevel"/>
    <w:tmpl w:val="B4D6E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7FF2444"/>
    <w:multiLevelType w:val="hybridMultilevel"/>
    <w:tmpl w:val="08109892"/>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19" w15:restartNumberingAfterBreak="0">
    <w:nsid w:val="58CA7312"/>
    <w:multiLevelType w:val="hybridMultilevel"/>
    <w:tmpl w:val="7660C730"/>
    <w:lvl w:ilvl="0" w:tplc="A1361A18">
      <w:numFmt w:val="bullet"/>
      <w:lvlText w:val="-"/>
      <w:lvlJc w:val="left"/>
      <w:pPr>
        <w:ind w:left="720" w:hanging="36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5C87499"/>
    <w:multiLevelType w:val="hybridMultilevel"/>
    <w:tmpl w:val="AD182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D68797A"/>
    <w:multiLevelType w:val="hybridMultilevel"/>
    <w:tmpl w:val="18409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1D429E0"/>
    <w:multiLevelType w:val="hybridMultilevel"/>
    <w:tmpl w:val="5EA68532"/>
    <w:lvl w:ilvl="0" w:tplc="18090001">
      <w:start w:val="1"/>
      <w:numFmt w:val="bullet"/>
      <w:lvlText w:val=""/>
      <w:lvlJc w:val="left"/>
      <w:pPr>
        <w:ind w:left="3600" w:hanging="360"/>
      </w:pPr>
      <w:rPr>
        <w:rFonts w:ascii="Symbol" w:hAnsi="Symbol" w:hint="default"/>
      </w:rPr>
    </w:lvl>
    <w:lvl w:ilvl="1" w:tplc="18090003" w:tentative="1">
      <w:start w:val="1"/>
      <w:numFmt w:val="bullet"/>
      <w:lvlText w:val="o"/>
      <w:lvlJc w:val="left"/>
      <w:pPr>
        <w:ind w:left="4320" w:hanging="360"/>
      </w:pPr>
      <w:rPr>
        <w:rFonts w:ascii="Courier New" w:hAnsi="Courier New" w:cs="Courier New" w:hint="default"/>
      </w:rPr>
    </w:lvl>
    <w:lvl w:ilvl="2" w:tplc="18090005" w:tentative="1">
      <w:start w:val="1"/>
      <w:numFmt w:val="bullet"/>
      <w:lvlText w:val=""/>
      <w:lvlJc w:val="left"/>
      <w:pPr>
        <w:ind w:left="5040" w:hanging="360"/>
      </w:pPr>
      <w:rPr>
        <w:rFonts w:ascii="Wingdings" w:hAnsi="Wingdings" w:hint="default"/>
      </w:rPr>
    </w:lvl>
    <w:lvl w:ilvl="3" w:tplc="18090001" w:tentative="1">
      <w:start w:val="1"/>
      <w:numFmt w:val="bullet"/>
      <w:lvlText w:val=""/>
      <w:lvlJc w:val="left"/>
      <w:pPr>
        <w:ind w:left="5760" w:hanging="360"/>
      </w:pPr>
      <w:rPr>
        <w:rFonts w:ascii="Symbol" w:hAnsi="Symbol" w:hint="default"/>
      </w:rPr>
    </w:lvl>
    <w:lvl w:ilvl="4" w:tplc="18090003" w:tentative="1">
      <w:start w:val="1"/>
      <w:numFmt w:val="bullet"/>
      <w:lvlText w:val="o"/>
      <w:lvlJc w:val="left"/>
      <w:pPr>
        <w:ind w:left="6480" w:hanging="360"/>
      </w:pPr>
      <w:rPr>
        <w:rFonts w:ascii="Courier New" w:hAnsi="Courier New" w:cs="Courier New" w:hint="default"/>
      </w:rPr>
    </w:lvl>
    <w:lvl w:ilvl="5" w:tplc="18090005" w:tentative="1">
      <w:start w:val="1"/>
      <w:numFmt w:val="bullet"/>
      <w:lvlText w:val=""/>
      <w:lvlJc w:val="left"/>
      <w:pPr>
        <w:ind w:left="7200" w:hanging="360"/>
      </w:pPr>
      <w:rPr>
        <w:rFonts w:ascii="Wingdings" w:hAnsi="Wingdings" w:hint="default"/>
      </w:rPr>
    </w:lvl>
    <w:lvl w:ilvl="6" w:tplc="18090001" w:tentative="1">
      <w:start w:val="1"/>
      <w:numFmt w:val="bullet"/>
      <w:lvlText w:val=""/>
      <w:lvlJc w:val="left"/>
      <w:pPr>
        <w:ind w:left="7920" w:hanging="360"/>
      </w:pPr>
      <w:rPr>
        <w:rFonts w:ascii="Symbol" w:hAnsi="Symbol" w:hint="default"/>
      </w:rPr>
    </w:lvl>
    <w:lvl w:ilvl="7" w:tplc="18090003" w:tentative="1">
      <w:start w:val="1"/>
      <w:numFmt w:val="bullet"/>
      <w:lvlText w:val="o"/>
      <w:lvlJc w:val="left"/>
      <w:pPr>
        <w:ind w:left="8640" w:hanging="360"/>
      </w:pPr>
      <w:rPr>
        <w:rFonts w:ascii="Courier New" w:hAnsi="Courier New" w:cs="Courier New" w:hint="default"/>
      </w:rPr>
    </w:lvl>
    <w:lvl w:ilvl="8" w:tplc="18090005" w:tentative="1">
      <w:start w:val="1"/>
      <w:numFmt w:val="bullet"/>
      <w:lvlText w:val=""/>
      <w:lvlJc w:val="left"/>
      <w:pPr>
        <w:ind w:left="9360" w:hanging="360"/>
      </w:pPr>
      <w:rPr>
        <w:rFonts w:ascii="Wingdings" w:hAnsi="Wingdings" w:hint="default"/>
      </w:rPr>
    </w:lvl>
  </w:abstractNum>
  <w:abstractNum w:abstractNumId="23" w15:restartNumberingAfterBreak="0">
    <w:nsid w:val="72200F9A"/>
    <w:multiLevelType w:val="hybridMultilevel"/>
    <w:tmpl w:val="924877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7526164"/>
    <w:multiLevelType w:val="hybridMultilevel"/>
    <w:tmpl w:val="17D49E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99806C9"/>
    <w:multiLevelType w:val="hybridMultilevel"/>
    <w:tmpl w:val="0FE411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9DA042E"/>
    <w:multiLevelType w:val="hybridMultilevel"/>
    <w:tmpl w:val="06BA5E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4"/>
  </w:num>
  <w:num w:numId="4">
    <w:abstractNumId w:val="24"/>
  </w:num>
  <w:num w:numId="5">
    <w:abstractNumId w:val="10"/>
  </w:num>
  <w:num w:numId="6">
    <w:abstractNumId w:val="17"/>
  </w:num>
  <w:num w:numId="7">
    <w:abstractNumId w:val="15"/>
  </w:num>
  <w:num w:numId="8">
    <w:abstractNumId w:val="25"/>
  </w:num>
  <w:num w:numId="9">
    <w:abstractNumId w:val="7"/>
  </w:num>
  <w:num w:numId="10">
    <w:abstractNumId w:val="23"/>
  </w:num>
  <w:num w:numId="11">
    <w:abstractNumId w:val="11"/>
  </w:num>
  <w:num w:numId="12">
    <w:abstractNumId w:val="22"/>
  </w:num>
  <w:num w:numId="13">
    <w:abstractNumId w:val="18"/>
  </w:num>
  <w:num w:numId="14">
    <w:abstractNumId w:val="26"/>
  </w:num>
  <w:num w:numId="15">
    <w:abstractNumId w:val="16"/>
  </w:num>
  <w:num w:numId="16">
    <w:abstractNumId w:val="5"/>
  </w:num>
  <w:num w:numId="17">
    <w:abstractNumId w:val="19"/>
  </w:num>
  <w:num w:numId="18">
    <w:abstractNumId w:val="9"/>
  </w:num>
  <w:num w:numId="19">
    <w:abstractNumId w:val="21"/>
  </w:num>
  <w:num w:numId="20">
    <w:abstractNumId w:val="12"/>
  </w:num>
  <w:num w:numId="21">
    <w:abstractNumId w:val="2"/>
  </w:num>
  <w:num w:numId="22">
    <w:abstractNumId w:val="13"/>
  </w:num>
  <w:num w:numId="23">
    <w:abstractNumId w:val="3"/>
  </w:num>
  <w:num w:numId="24">
    <w:abstractNumId w:val="6"/>
  </w:num>
  <w:num w:numId="25">
    <w:abstractNumId w:val="1"/>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EE"/>
    <w:rsid w:val="00000F57"/>
    <w:rsid w:val="000013C2"/>
    <w:rsid w:val="00002C8D"/>
    <w:rsid w:val="00004338"/>
    <w:rsid w:val="00005E9A"/>
    <w:rsid w:val="00016A64"/>
    <w:rsid w:val="00016F36"/>
    <w:rsid w:val="00017EF3"/>
    <w:rsid w:val="000201FB"/>
    <w:rsid w:val="0002389E"/>
    <w:rsid w:val="00025C88"/>
    <w:rsid w:val="00027892"/>
    <w:rsid w:val="00027B3F"/>
    <w:rsid w:val="000315F8"/>
    <w:rsid w:val="00035768"/>
    <w:rsid w:val="000372CB"/>
    <w:rsid w:val="0004093C"/>
    <w:rsid w:val="000410E9"/>
    <w:rsid w:val="00041FD3"/>
    <w:rsid w:val="000435EB"/>
    <w:rsid w:val="00045E80"/>
    <w:rsid w:val="00047399"/>
    <w:rsid w:val="00047A21"/>
    <w:rsid w:val="000501C2"/>
    <w:rsid w:val="00051D98"/>
    <w:rsid w:val="00053057"/>
    <w:rsid w:val="00061EA2"/>
    <w:rsid w:val="000621B8"/>
    <w:rsid w:val="000627BE"/>
    <w:rsid w:val="000648FE"/>
    <w:rsid w:val="00064AB7"/>
    <w:rsid w:val="00064EA2"/>
    <w:rsid w:val="000658E0"/>
    <w:rsid w:val="000661DD"/>
    <w:rsid w:val="0006757D"/>
    <w:rsid w:val="0007023E"/>
    <w:rsid w:val="000732DC"/>
    <w:rsid w:val="00073A62"/>
    <w:rsid w:val="000741FE"/>
    <w:rsid w:val="00074CA5"/>
    <w:rsid w:val="00077F75"/>
    <w:rsid w:val="00082B5B"/>
    <w:rsid w:val="00083022"/>
    <w:rsid w:val="00084D8A"/>
    <w:rsid w:val="0008512F"/>
    <w:rsid w:val="0008680E"/>
    <w:rsid w:val="00086945"/>
    <w:rsid w:val="000A3707"/>
    <w:rsid w:val="000A69D5"/>
    <w:rsid w:val="000A6A62"/>
    <w:rsid w:val="000B0D55"/>
    <w:rsid w:val="000B0F96"/>
    <w:rsid w:val="000B275F"/>
    <w:rsid w:val="000B3710"/>
    <w:rsid w:val="000B54A2"/>
    <w:rsid w:val="000B6917"/>
    <w:rsid w:val="000C021D"/>
    <w:rsid w:val="000C05F0"/>
    <w:rsid w:val="000C0D44"/>
    <w:rsid w:val="000C36F8"/>
    <w:rsid w:val="000C4A50"/>
    <w:rsid w:val="000C6548"/>
    <w:rsid w:val="000C6E4D"/>
    <w:rsid w:val="000D26A4"/>
    <w:rsid w:val="000D2D88"/>
    <w:rsid w:val="000D3746"/>
    <w:rsid w:val="000D4384"/>
    <w:rsid w:val="000D608E"/>
    <w:rsid w:val="000E0A5E"/>
    <w:rsid w:val="000E1610"/>
    <w:rsid w:val="000E1D4B"/>
    <w:rsid w:val="000E3C9A"/>
    <w:rsid w:val="000E5525"/>
    <w:rsid w:val="000F0575"/>
    <w:rsid w:val="000F2C1E"/>
    <w:rsid w:val="000F4074"/>
    <w:rsid w:val="000F7085"/>
    <w:rsid w:val="000F7BC3"/>
    <w:rsid w:val="00100FB9"/>
    <w:rsid w:val="00101040"/>
    <w:rsid w:val="00101C99"/>
    <w:rsid w:val="0010478E"/>
    <w:rsid w:val="00104841"/>
    <w:rsid w:val="001078DB"/>
    <w:rsid w:val="00107BBB"/>
    <w:rsid w:val="0011137D"/>
    <w:rsid w:val="00115E1D"/>
    <w:rsid w:val="001160AC"/>
    <w:rsid w:val="001165A4"/>
    <w:rsid w:val="00117A6B"/>
    <w:rsid w:val="0012268E"/>
    <w:rsid w:val="00123711"/>
    <w:rsid w:val="001243B3"/>
    <w:rsid w:val="001244C9"/>
    <w:rsid w:val="0012570F"/>
    <w:rsid w:val="0012642C"/>
    <w:rsid w:val="00130114"/>
    <w:rsid w:val="00130419"/>
    <w:rsid w:val="001308B5"/>
    <w:rsid w:val="00131AC1"/>
    <w:rsid w:val="00131C96"/>
    <w:rsid w:val="00131CD3"/>
    <w:rsid w:val="0013387F"/>
    <w:rsid w:val="00136235"/>
    <w:rsid w:val="0013710E"/>
    <w:rsid w:val="001416AB"/>
    <w:rsid w:val="00146C39"/>
    <w:rsid w:val="001504C3"/>
    <w:rsid w:val="0015757F"/>
    <w:rsid w:val="00157669"/>
    <w:rsid w:val="001609B4"/>
    <w:rsid w:val="00160A96"/>
    <w:rsid w:val="00163591"/>
    <w:rsid w:val="00165934"/>
    <w:rsid w:val="0016713E"/>
    <w:rsid w:val="0016781C"/>
    <w:rsid w:val="00171331"/>
    <w:rsid w:val="001718C3"/>
    <w:rsid w:val="001727A0"/>
    <w:rsid w:val="00174B28"/>
    <w:rsid w:val="001829EA"/>
    <w:rsid w:val="001844B1"/>
    <w:rsid w:val="0019452A"/>
    <w:rsid w:val="001A28DF"/>
    <w:rsid w:val="001A2A3D"/>
    <w:rsid w:val="001A3050"/>
    <w:rsid w:val="001A4CD9"/>
    <w:rsid w:val="001A5D93"/>
    <w:rsid w:val="001A7634"/>
    <w:rsid w:val="001B41FF"/>
    <w:rsid w:val="001C33A6"/>
    <w:rsid w:val="001D36B1"/>
    <w:rsid w:val="001D45FC"/>
    <w:rsid w:val="001D52CB"/>
    <w:rsid w:val="001D753C"/>
    <w:rsid w:val="001D7702"/>
    <w:rsid w:val="001E6305"/>
    <w:rsid w:val="001E77A4"/>
    <w:rsid w:val="001F06FA"/>
    <w:rsid w:val="001F103D"/>
    <w:rsid w:val="001F210E"/>
    <w:rsid w:val="001F3EF6"/>
    <w:rsid w:val="001F626F"/>
    <w:rsid w:val="001F6BA3"/>
    <w:rsid w:val="0020082D"/>
    <w:rsid w:val="00202B33"/>
    <w:rsid w:val="00202B60"/>
    <w:rsid w:val="00203105"/>
    <w:rsid w:val="00203271"/>
    <w:rsid w:val="00204BBC"/>
    <w:rsid w:val="00205771"/>
    <w:rsid w:val="00206B63"/>
    <w:rsid w:val="002145D5"/>
    <w:rsid w:val="002251FD"/>
    <w:rsid w:val="00225628"/>
    <w:rsid w:val="002264C1"/>
    <w:rsid w:val="0022789A"/>
    <w:rsid w:val="002342AE"/>
    <w:rsid w:val="00235F20"/>
    <w:rsid w:val="00236D1D"/>
    <w:rsid w:val="0023704E"/>
    <w:rsid w:val="00246CA8"/>
    <w:rsid w:val="00251B9B"/>
    <w:rsid w:val="00264033"/>
    <w:rsid w:val="002645CB"/>
    <w:rsid w:val="00266212"/>
    <w:rsid w:val="00270ED4"/>
    <w:rsid w:val="00272415"/>
    <w:rsid w:val="002757D5"/>
    <w:rsid w:val="0027679E"/>
    <w:rsid w:val="00276E2F"/>
    <w:rsid w:val="00277445"/>
    <w:rsid w:val="002804FE"/>
    <w:rsid w:val="0028179B"/>
    <w:rsid w:val="002818A6"/>
    <w:rsid w:val="002820CF"/>
    <w:rsid w:val="00282FA7"/>
    <w:rsid w:val="00284D8C"/>
    <w:rsid w:val="00285041"/>
    <w:rsid w:val="00285D0C"/>
    <w:rsid w:val="002A37F0"/>
    <w:rsid w:val="002A4F24"/>
    <w:rsid w:val="002A4F86"/>
    <w:rsid w:val="002A6882"/>
    <w:rsid w:val="002B12D7"/>
    <w:rsid w:val="002B1A0C"/>
    <w:rsid w:val="002B2122"/>
    <w:rsid w:val="002B5E69"/>
    <w:rsid w:val="002B70EE"/>
    <w:rsid w:val="002C4F11"/>
    <w:rsid w:val="002D3141"/>
    <w:rsid w:val="002D4476"/>
    <w:rsid w:val="002D7505"/>
    <w:rsid w:val="002D7A1F"/>
    <w:rsid w:val="002E3948"/>
    <w:rsid w:val="002E658C"/>
    <w:rsid w:val="002F2AF5"/>
    <w:rsid w:val="002F42CE"/>
    <w:rsid w:val="002F4894"/>
    <w:rsid w:val="002F4E81"/>
    <w:rsid w:val="002F52AC"/>
    <w:rsid w:val="002F58FD"/>
    <w:rsid w:val="00301578"/>
    <w:rsid w:val="00305BA4"/>
    <w:rsid w:val="003074BD"/>
    <w:rsid w:val="00310851"/>
    <w:rsid w:val="0031335D"/>
    <w:rsid w:val="00314031"/>
    <w:rsid w:val="00316CAE"/>
    <w:rsid w:val="003178CE"/>
    <w:rsid w:val="00320A04"/>
    <w:rsid w:val="00322176"/>
    <w:rsid w:val="00322959"/>
    <w:rsid w:val="003260CE"/>
    <w:rsid w:val="00333AF5"/>
    <w:rsid w:val="00335B75"/>
    <w:rsid w:val="00340AC0"/>
    <w:rsid w:val="00344FB4"/>
    <w:rsid w:val="00351137"/>
    <w:rsid w:val="00351F38"/>
    <w:rsid w:val="00361D99"/>
    <w:rsid w:val="00363ABD"/>
    <w:rsid w:val="0036446F"/>
    <w:rsid w:val="00371536"/>
    <w:rsid w:val="003723B9"/>
    <w:rsid w:val="003832C1"/>
    <w:rsid w:val="003840C1"/>
    <w:rsid w:val="00385997"/>
    <w:rsid w:val="003901A8"/>
    <w:rsid w:val="00396931"/>
    <w:rsid w:val="003A3654"/>
    <w:rsid w:val="003A45CE"/>
    <w:rsid w:val="003A500A"/>
    <w:rsid w:val="003A5F83"/>
    <w:rsid w:val="003A7785"/>
    <w:rsid w:val="003B1582"/>
    <w:rsid w:val="003B483F"/>
    <w:rsid w:val="003B4EB3"/>
    <w:rsid w:val="003B6667"/>
    <w:rsid w:val="003B6D94"/>
    <w:rsid w:val="003C0F9D"/>
    <w:rsid w:val="003C1871"/>
    <w:rsid w:val="003D00A7"/>
    <w:rsid w:val="003D227D"/>
    <w:rsid w:val="003D2C56"/>
    <w:rsid w:val="003D3714"/>
    <w:rsid w:val="003D3DCC"/>
    <w:rsid w:val="003D633A"/>
    <w:rsid w:val="003D66D7"/>
    <w:rsid w:val="003D6B58"/>
    <w:rsid w:val="003E0631"/>
    <w:rsid w:val="003E1F2B"/>
    <w:rsid w:val="003E4D14"/>
    <w:rsid w:val="003E4DA2"/>
    <w:rsid w:val="003E6E42"/>
    <w:rsid w:val="003F3A82"/>
    <w:rsid w:val="003F790B"/>
    <w:rsid w:val="00400FFD"/>
    <w:rsid w:val="00401ED8"/>
    <w:rsid w:val="00404C48"/>
    <w:rsid w:val="004057B3"/>
    <w:rsid w:val="00406909"/>
    <w:rsid w:val="0041070F"/>
    <w:rsid w:val="004148F4"/>
    <w:rsid w:val="00416AAC"/>
    <w:rsid w:val="004174AE"/>
    <w:rsid w:val="0042196D"/>
    <w:rsid w:val="004223F2"/>
    <w:rsid w:val="00422BCC"/>
    <w:rsid w:val="00425010"/>
    <w:rsid w:val="0042515E"/>
    <w:rsid w:val="00425D9C"/>
    <w:rsid w:val="004266C1"/>
    <w:rsid w:val="00431CA0"/>
    <w:rsid w:val="004326B2"/>
    <w:rsid w:val="00433DF6"/>
    <w:rsid w:val="00435C5E"/>
    <w:rsid w:val="00436AB4"/>
    <w:rsid w:val="004376DD"/>
    <w:rsid w:val="00440260"/>
    <w:rsid w:val="00444A9E"/>
    <w:rsid w:val="004450BF"/>
    <w:rsid w:val="00446D8C"/>
    <w:rsid w:val="00447EF8"/>
    <w:rsid w:val="00454F71"/>
    <w:rsid w:val="004575B6"/>
    <w:rsid w:val="00457AA9"/>
    <w:rsid w:val="00460AA8"/>
    <w:rsid w:val="0046635F"/>
    <w:rsid w:val="00467F73"/>
    <w:rsid w:val="00472172"/>
    <w:rsid w:val="00475357"/>
    <w:rsid w:val="00481A22"/>
    <w:rsid w:val="00481FCB"/>
    <w:rsid w:val="004850D5"/>
    <w:rsid w:val="004853A1"/>
    <w:rsid w:val="00485C18"/>
    <w:rsid w:val="00486125"/>
    <w:rsid w:val="00492818"/>
    <w:rsid w:val="004933EB"/>
    <w:rsid w:val="00496131"/>
    <w:rsid w:val="00496B7E"/>
    <w:rsid w:val="0049784E"/>
    <w:rsid w:val="004A13AC"/>
    <w:rsid w:val="004A4585"/>
    <w:rsid w:val="004A524F"/>
    <w:rsid w:val="004A6777"/>
    <w:rsid w:val="004A7744"/>
    <w:rsid w:val="004B1A41"/>
    <w:rsid w:val="004B4DB6"/>
    <w:rsid w:val="004B6077"/>
    <w:rsid w:val="004C104D"/>
    <w:rsid w:val="004C2055"/>
    <w:rsid w:val="004C3B41"/>
    <w:rsid w:val="004C4FBD"/>
    <w:rsid w:val="004D2AEB"/>
    <w:rsid w:val="004E47C0"/>
    <w:rsid w:val="004E4896"/>
    <w:rsid w:val="004E660B"/>
    <w:rsid w:val="004E6EC9"/>
    <w:rsid w:val="004E769F"/>
    <w:rsid w:val="004F005D"/>
    <w:rsid w:val="004F081A"/>
    <w:rsid w:val="004F08EC"/>
    <w:rsid w:val="004F0C1A"/>
    <w:rsid w:val="004F2C6C"/>
    <w:rsid w:val="004F5457"/>
    <w:rsid w:val="004F577E"/>
    <w:rsid w:val="00501A17"/>
    <w:rsid w:val="005022CE"/>
    <w:rsid w:val="0050516F"/>
    <w:rsid w:val="0050679C"/>
    <w:rsid w:val="00506D31"/>
    <w:rsid w:val="005072B7"/>
    <w:rsid w:val="0051454C"/>
    <w:rsid w:val="00514EB3"/>
    <w:rsid w:val="0051555A"/>
    <w:rsid w:val="005169FB"/>
    <w:rsid w:val="00527185"/>
    <w:rsid w:val="0052728A"/>
    <w:rsid w:val="0052758B"/>
    <w:rsid w:val="0053050F"/>
    <w:rsid w:val="00530E05"/>
    <w:rsid w:val="005318C0"/>
    <w:rsid w:val="005320EF"/>
    <w:rsid w:val="00532D0F"/>
    <w:rsid w:val="00535D43"/>
    <w:rsid w:val="00540394"/>
    <w:rsid w:val="00540E92"/>
    <w:rsid w:val="005460F6"/>
    <w:rsid w:val="0054790E"/>
    <w:rsid w:val="005510F1"/>
    <w:rsid w:val="0055255C"/>
    <w:rsid w:val="00554ABC"/>
    <w:rsid w:val="005551F2"/>
    <w:rsid w:val="00556102"/>
    <w:rsid w:val="0056434B"/>
    <w:rsid w:val="005676E3"/>
    <w:rsid w:val="005757AD"/>
    <w:rsid w:val="0057790F"/>
    <w:rsid w:val="00585511"/>
    <w:rsid w:val="00586AA3"/>
    <w:rsid w:val="00590577"/>
    <w:rsid w:val="00591847"/>
    <w:rsid w:val="005949A1"/>
    <w:rsid w:val="005952B4"/>
    <w:rsid w:val="00595B41"/>
    <w:rsid w:val="00596676"/>
    <w:rsid w:val="005970D5"/>
    <w:rsid w:val="005A00F4"/>
    <w:rsid w:val="005A07B5"/>
    <w:rsid w:val="005A2964"/>
    <w:rsid w:val="005A4266"/>
    <w:rsid w:val="005A6A6B"/>
    <w:rsid w:val="005A7AB0"/>
    <w:rsid w:val="005A7C7F"/>
    <w:rsid w:val="005B3E0D"/>
    <w:rsid w:val="005B47A7"/>
    <w:rsid w:val="005B4F2C"/>
    <w:rsid w:val="005B4FB1"/>
    <w:rsid w:val="005B7E1E"/>
    <w:rsid w:val="005C2332"/>
    <w:rsid w:val="005C44A1"/>
    <w:rsid w:val="005C5093"/>
    <w:rsid w:val="005C5BAA"/>
    <w:rsid w:val="005C676A"/>
    <w:rsid w:val="005C6843"/>
    <w:rsid w:val="005C7686"/>
    <w:rsid w:val="005D09E7"/>
    <w:rsid w:val="005D0D16"/>
    <w:rsid w:val="005D119F"/>
    <w:rsid w:val="005D1BB4"/>
    <w:rsid w:val="005D1C83"/>
    <w:rsid w:val="005D26E7"/>
    <w:rsid w:val="005D4AF9"/>
    <w:rsid w:val="005D65D7"/>
    <w:rsid w:val="005D6B8B"/>
    <w:rsid w:val="005E1637"/>
    <w:rsid w:val="005E166D"/>
    <w:rsid w:val="005E234F"/>
    <w:rsid w:val="005E456A"/>
    <w:rsid w:val="005E601C"/>
    <w:rsid w:val="005F6CEF"/>
    <w:rsid w:val="006013C3"/>
    <w:rsid w:val="00601F48"/>
    <w:rsid w:val="006030BA"/>
    <w:rsid w:val="0060634D"/>
    <w:rsid w:val="00607BC9"/>
    <w:rsid w:val="00616FC8"/>
    <w:rsid w:val="00617CFA"/>
    <w:rsid w:val="006225D2"/>
    <w:rsid w:val="006233C4"/>
    <w:rsid w:val="00623D49"/>
    <w:rsid w:val="00630DF5"/>
    <w:rsid w:val="006324B0"/>
    <w:rsid w:val="00634F2F"/>
    <w:rsid w:val="006432C2"/>
    <w:rsid w:val="00643D3E"/>
    <w:rsid w:val="006558C1"/>
    <w:rsid w:val="006569DA"/>
    <w:rsid w:val="006574D3"/>
    <w:rsid w:val="0065767E"/>
    <w:rsid w:val="0066509E"/>
    <w:rsid w:val="00671B95"/>
    <w:rsid w:val="00672732"/>
    <w:rsid w:val="0067551E"/>
    <w:rsid w:val="0067663B"/>
    <w:rsid w:val="00680FC0"/>
    <w:rsid w:val="0068191C"/>
    <w:rsid w:val="00686515"/>
    <w:rsid w:val="00687489"/>
    <w:rsid w:val="0069250A"/>
    <w:rsid w:val="00693352"/>
    <w:rsid w:val="00693CEE"/>
    <w:rsid w:val="006947C8"/>
    <w:rsid w:val="00696ACE"/>
    <w:rsid w:val="00697374"/>
    <w:rsid w:val="006A339F"/>
    <w:rsid w:val="006A4262"/>
    <w:rsid w:val="006A44D5"/>
    <w:rsid w:val="006A4E78"/>
    <w:rsid w:val="006B2060"/>
    <w:rsid w:val="006B25FA"/>
    <w:rsid w:val="006C0D97"/>
    <w:rsid w:val="006C11F6"/>
    <w:rsid w:val="006C49A4"/>
    <w:rsid w:val="006C78F2"/>
    <w:rsid w:val="006D2570"/>
    <w:rsid w:val="006D2CA0"/>
    <w:rsid w:val="006D7B4A"/>
    <w:rsid w:val="006E0A30"/>
    <w:rsid w:val="006E122B"/>
    <w:rsid w:val="006E1262"/>
    <w:rsid w:val="006E24E9"/>
    <w:rsid w:val="006E30BF"/>
    <w:rsid w:val="006E5C54"/>
    <w:rsid w:val="006E6D50"/>
    <w:rsid w:val="006F06B7"/>
    <w:rsid w:val="006F164E"/>
    <w:rsid w:val="006F260D"/>
    <w:rsid w:val="006F59A4"/>
    <w:rsid w:val="006F5B50"/>
    <w:rsid w:val="006F5BE7"/>
    <w:rsid w:val="006F5FAE"/>
    <w:rsid w:val="006F6F32"/>
    <w:rsid w:val="007033D6"/>
    <w:rsid w:val="00704553"/>
    <w:rsid w:val="00705F11"/>
    <w:rsid w:val="00714782"/>
    <w:rsid w:val="00716E58"/>
    <w:rsid w:val="00721836"/>
    <w:rsid w:val="00722973"/>
    <w:rsid w:val="00730A0B"/>
    <w:rsid w:val="007321E7"/>
    <w:rsid w:val="007348DA"/>
    <w:rsid w:val="0073589D"/>
    <w:rsid w:val="007428C7"/>
    <w:rsid w:val="00743F93"/>
    <w:rsid w:val="00753B0E"/>
    <w:rsid w:val="0075582F"/>
    <w:rsid w:val="007573E5"/>
    <w:rsid w:val="0076185C"/>
    <w:rsid w:val="00763D64"/>
    <w:rsid w:val="00764B74"/>
    <w:rsid w:val="00764C6A"/>
    <w:rsid w:val="00765662"/>
    <w:rsid w:val="007722F1"/>
    <w:rsid w:val="00773564"/>
    <w:rsid w:val="0077413D"/>
    <w:rsid w:val="007752F6"/>
    <w:rsid w:val="0078024F"/>
    <w:rsid w:val="00781315"/>
    <w:rsid w:val="00781E5E"/>
    <w:rsid w:val="0078741C"/>
    <w:rsid w:val="00787A94"/>
    <w:rsid w:val="00787EDC"/>
    <w:rsid w:val="00791B98"/>
    <w:rsid w:val="0079696E"/>
    <w:rsid w:val="007971B3"/>
    <w:rsid w:val="007A4275"/>
    <w:rsid w:val="007A79D0"/>
    <w:rsid w:val="007B022A"/>
    <w:rsid w:val="007B0D39"/>
    <w:rsid w:val="007B2D21"/>
    <w:rsid w:val="007C0455"/>
    <w:rsid w:val="007C43CD"/>
    <w:rsid w:val="007C469C"/>
    <w:rsid w:val="007C6B86"/>
    <w:rsid w:val="007D221E"/>
    <w:rsid w:val="007E1613"/>
    <w:rsid w:val="007E6CA9"/>
    <w:rsid w:val="007F2115"/>
    <w:rsid w:val="007F3E98"/>
    <w:rsid w:val="007F742F"/>
    <w:rsid w:val="007F7825"/>
    <w:rsid w:val="0080101D"/>
    <w:rsid w:val="008015A1"/>
    <w:rsid w:val="0080442C"/>
    <w:rsid w:val="00810620"/>
    <w:rsid w:val="00811F40"/>
    <w:rsid w:val="00812A14"/>
    <w:rsid w:val="00812DEE"/>
    <w:rsid w:val="008143A8"/>
    <w:rsid w:val="00816587"/>
    <w:rsid w:val="00823241"/>
    <w:rsid w:val="00823355"/>
    <w:rsid w:val="00825899"/>
    <w:rsid w:val="00832157"/>
    <w:rsid w:val="00834234"/>
    <w:rsid w:val="00837DE5"/>
    <w:rsid w:val="008419C2"/>
    <w:rsid w:val="008448F6"/>
    <w:rsid w:val="00850CF5"/>
    <w:rsid w:val="00854683"/>
    <w:rsid w:val="00854E3E"/>
    <w:rsid w:val="00855036"/>
    <w:rsid w:val="0085673F"/>
    <w:rsid w:val="00864A30"/>
    <w:rsid w:val="008672F1"/>
    <w:rsid w:val="0086799A"/>
    <w:rsid w:val="00871028"/>
    <w:rsid w:val="00873955"/>
    <w:rsid w:val="00873D2B"/>
    <w:rsid w:val="00875E13"/>
    <w:rsid w:val="0088232A"/>
    <w:rsid w:val="0088308B"/>
    <w:rsid w:val="00883FFD"/>
    <w:rsid w:val="00887136"/>
    <w:rsid w:val="0089168C"/>
    <w:rsid w:val="00891794"/>
    <w:rsid w:val="00893BF6"/>
    <w:rsid w:val="00894B95"/>
    <w:rsid w:val="008A269F"/>
    <w:rsid w:val="008A5ABD"/>
    <w:rsid w:val="008B03B2"/>
    <w:rsid w:val="008B0F56"/>
    <w:rsid w:val="008B13AD"/>
    <w:rsid w:val="008B2E8F"/>
    <w:rsid w:val="008C0E59"/>
    <w:rsid w:val="008C100E"/>
    <w:rsid w:val="008C4DFF"/>
    <w:rsid w:val="008C518D"/>
    <w:rsid w:val="008C5EE5"/>
    <w:rsid w:val="008D4927"/>
    <w:rsid w:val="008D4A35"/>
    <w:rsid w:val="008D5D9E"/>
    <w:rsid w:val="008D64F1"/>
    <w:rsid w:val="008E17C9"/>
    <w:rsid w:val="008E6C65"/>
    <w:rsid w:val="008E7C6D"/>
    <w:rsid w:val="008F057B"/>
    <w:rsid w:val="008F2139"/>
    <w:rsid w:val="008F29F5"/>
    <w:rsid w:val="008F2C76"/>
    <w:rsid w:val="008F6A0F"/>
    <w:rsid w:val="008F6DAE"/>
    <w:rsid w:val="008F78FD"/>
    <w:rsid w:val="00901DAD"/>
    <w:rsid w:val="009029B9"/>
    <w:rsid w:val="00904012"/>
    <w:rsid w:val="009040D6"/>
    <w:rsid w:val="00904630"/>
    <w:rsid w:val="00904ADA"/>
    <w:rsid w:val="00904CB6"/>
    <w:rsid w:val="00907884"/>
    <w:rsid w:val="009078A3"/>
    <w:rsid w:val="00915D3A"/>
    <w:rsid w:val="0091668A"/>
    <w:rsid w:val="00922180"/>
    <w:rsid w:val="00924540"/>
    <w:rsid w:val="0092676B"/>
    <w:rsid w:val="009312A4"/>
    <w:rsid w:val="009503A3"/>
    <w:rsid w:val="00957B4C"/>
    <w:rsid w:val="00957D85"/>
    <w:rsid w:val="009601D9"/>
    <w:rsid w:val="00960881"/>
    <w:rsid w:val="009618EA"/>
    <w:rsid w:val="00964517"/>
    <w:rsid w:val="009660FC"/>
    <w:rsid w:val="00967358"/>
    <w:rsid w:val="00972B0B"/>
    <w:rsid w:val="00977508"/>
    <w:rsid w:val="00985E35"/>
    <w:rsid w:val="0098723F"/>
    <w:rsid w:val="009923DD"/>
    <w:rsid w:val="009A1155"/>
    <w:rsid w:val="009A48C9"/>
    <w:rsid w:val="009B1366"/>
    <w:rsid w:val="009B2FD7"/>
    <w:rsid w:val="009B3623"/>
    <w:rsid w:val="009B7AFE"/>
    <w:rsid w:val="009C012E"/>
    <w:rsid w:val="009C013B"/>
    <w:rsid w:val="009C047E"/>
    <w:rsid w:val="009C3E20"/>
    <w:rsid w:val="009C46E5"/>
    <w:rsid w:val="009D1A4D"/>
    <w:rsid w:val="009D3411"/>
    <w:rsid w:val="009D3421"/>
    <w:rsid w:val="009D6791"/>
    <w:rsid w:val="009E00F4"/>
    <w:rsid w:val="009E045C"/>
    <w:rsid w:val="009E10B5"/>
    <w:rsid w:val="009E20BE"/>
    <w:rsid w:val="009E435F"/>
    <w:rsid w:val="009E5986"/>
    <w:rsid w:val="009F305D"/>
    <w:rsid w:val="009F4073"/>
    <w:rsid w:val="009F434A"/>
    <w:rsid w:val="009F4E25"/>
    <w:rsid w:val="009F5151"/>
    <w:rsid w:val="009F6DD3"/>
    <w:rsid w:val="00A000C5"/>
    <w:rsid w:val="00A05B8D"/>
    <w:rsid w:val="00A06ED8"/>
    <w:rsid w:val="00A123E9"/>
    <w:rsid w:val="00A1370E"/>
    <w:rsid w:val="00A13BF1"/>
    <w:rsid w:val="00A21E5E"/>
    <w:rsid w:val="00A22449"/>
    <w:rsid w:val="00A27626"/>
    <w:rsid w:val="00A27A89"/>
    <w:rsid w:val="00A30445"/>
    <w:rsid w:val="00A33335"/>
    <w:rsid w:val="00A3597D"/>
    <w:rsid w:val="00A45C8C"/>
    <w:rsid w:val="00A46A36"/>
    <w:rsid w:val="00A46CBB"/>
    <w:rsid w:val="00A50164"/>
    <w:rsid w:val="00A51A75"/>
    <w:rsid w:val="00A51AF1"/>
    <w:rsid w:val="00A520B0"/>
    <w:rsid w:val="00A53B7E"/>
    <w:rsid w:val="00A555FA"/>
    <w:rsid w:val="00A5632A"/>
    <w:rsid w:val="00A60E08"/>
    <w:rsid w:val="00A63E80"/>
    <w:rsid w:val="00A65762"/>
    <w:rsid w:val="00A6710D"/>
    <w:rsid w:val="00A73261"/>
    <w:rsid w:val="00A82DED"/>
    <w:rsid w:val="00A8324B"/>
    <w:rsid w:val="00A837ED"/>
    <w:rsid w:val="00A851CE"/>
    <w:rsid w:val="00A939AD"/>
    <w:rsid w:val="00A9722C"/>
    <w:rsid w:val="00AA15F6"/>
    <w:rsid w:val="00AA537D"/>
    <w:rsid w:val="00AB34B3"/>
    <w:rsid w:val="00AB452C"/>
    <w:rsid w:val="00AB6A50"/>
    <w:rsid w:val="00AB6F86"/>
    <w:rsid w:val="00AB7DC3"/>
    <w:rsid w:val="00AC0ADF"/>
    <w:rsid w:val="00AD1314"/>
    <w:rsid w:val="00AD5A67"/>
    <w:rsid w:val="00AE6302"/>
    <w:rsid w:val="00AE65C1"/>
    <w:rsid w:val="00AE7B95"/>
    <w:rsid w:val="00AF215C"/>
    <w:rsid w:val="00AF3E34"/>
    <w:rsid w:val="00AF4B17"/>
    <w:rsid w:val="00AF7F1F"/>
    <w:rsid w:val="00B014CE"/>
    <w:rsid w:val="00B02281"/>
    <w:rsid w:val="00B134C8"/>
    <w:rsid w:val="00B141B8"/>
    <w:rsid w:val="00B14D98"/>
    <w:rsid w:val="00B20D12"/>
    <w:rsid w:val="00B2235F"/>
    <w:rsid w:val="00B23B0D"/>
    <w:rsid w:val="00B24E78"/>
    <w:rsid w:val="00B24F0B"/>
    <w:rsid w:val="00B25D11"/>
    <w:rsid w:val="00B34B1B"/>
    <w:rsid w:val="00B3787F"/>
    <w:rsid w:val="00B405D9"/>
    <w:rsid w:val="00B4118C"/>
    <w:rsid w:val="00B42111"/>
    <w:rsid w:val="00B42136"/>
    <w:rsid w:val="00B4472F"/>
    <w:rsid w:val="00B45A5A"/>
    <w:rsid w:val="00B47C6A"/>
    <w:rsid w:val="00B51BDF"/>
    <w:rsid w:val="00B52249"/>
    <w:rsid w:val="00B55795"/>
    <w:rsid w:val="00B62D64"/>
    <w:rsid w:val="00B630C8"/>
    <w:rsid w:val="00B634B8"/>
    <w:rsid w:val="00B641C8"/>
    <w:rsid w:val="00B65B0A"/>
    <w:rsid w:val="00B70AF6"/>
    <w:rsid w:val="00B7266D"/>
    <w:rsid w:val="00B753BF"/>
    <w:rsid w:val="00B75F7F"/>
    <w:rsid w:val="00B82A6F"/>
    <w:rsid w:val="00B82AEE"/>
    <w:rsid w:val="00B834CC"/>
    <w:rsid w:val="00B85DDA"/>
    <w:rsid w:val="00B866B5"/>
    <w:rsid w:val="00B86C73"/>
    <w:rsid w:val="00B8756E"/>
    <w:rsid w:val="00B90C4A"/>
    <w:rsid w:val="00B954AC"/>
    <w:rsid w:val="00B97738"/>
    <w:rsid w:val="00BA1486"/>
    <w:rsid w:val="00BA1FE9"/>
    <w:rsid w:val="00BA5C91"/>
    <w:rsid w:val="00BB0D70"/>
    <w:rsid w:val="00BB20CD"/>
    <w:rsid w:val="00BB524A"/>
    <w:rsid w:val="00BB770C"/>
    <w:rsid w:val="00BC2AB9"/>
    <w:rsid w:val="00BC4D5B"/>
    <w:rsid w:val="00BE1E97"/>
    <w:rsid w:val="00BE21ED"/>
    <w:rsid w:val="00BE4A69"/>
    <w:rsid w:val="00BE6F6F"/>
    <w:rsid w:val="00BE76EB"/>
    <w:rsid w:val="00BF5CF1"/>
    <w:rsid w:val="00C0114C"/>
    <w:rsid w:val="00C02A03"/>
    <w:rsid w:val="00C03ACD"/>
    <w:rsid w:val="00C03DE0"/>
    <w:rsid w:val="00C061E1"/>
    <w:rsid w:val="00C06424"/>
    <w:rsid w:val="00C0670C"/>
    <w:rsid w:val="00C1063E"/>
    <w:rsid w:val="00C16038"/>
    <w:rsid w:val="00C171A4"/>
    <w:rsid w:val="00C2699C"/>
    <w:rsid w:val="00C330A8"/>
    <w:rsid w:val="00C3444A"/>
    <w:rsid w:val="00C366A4"/>
    <w:rsid w:val="00C36E77"/>
    <w:rsid w:val="00C429AB"/>
    <w:rsid w:val="00C43396"/>
    <w:rsid w:val="00C4553E"/>
    <w:rsid w:val="00C504F2"/>
    <w:rsid w:val="00C51CE3"/>
    <w:rsid w:val="00C51CE8"/>
    <w:rsid w:val="00C51D79"/>
    <w:rsid w:val="00C52283"/>
    <w:rsid w:val="00C54E60"/>
    <w:rsid w:val="00C5619F"/>
    <w:rsid w:val="00C63835"/>
    <w:rsid w:val="00C67AB7"/>
    <w:rsid w:val="00C67B13"/>
    <w:rsid w:val="00C70E1D"/>
    <w:rsid w:val="00C70FC9"/>
    <w:rsid w:val="00C7100B"/>
    <w:rsid w:val="00C7297A"/>
    <w:rsid w:val="00C7448F"/>
    <w:rsid w:val="00C76DB3"/>
    <w:rsid w:val="00C8260E"/>
    <w:rsid w:val="00C83952"/>
    <w:rsid w:val="00C95528"/>
    <w:rsid w:val="00C96040"/>
    <w:rsid w:val="00CA29D1"/>
    <w:rsid w:val="00CA2A1E"/>
    <w:rsid w:val="00CA2B9F"/>
    <w:rsid w:val="00CA3851"/>
    <w:rsid w:val="00CA3CF3"/>
    <w:rsid w:val="00CA41B9"/>
    <w:rsid w:val="00CA55A2"/>
    <w:rsid w:val="00CA5DFC"/>
    <w:rsid w:val="00CA65DB"/>
    <w:rsid w:val="00CB25AD"/>
    <w:rsid w:val="00CB300F"/>
    <w:rsid w:val="00CB3793"/>
    <w:rsid w:val="00CB3934"/>
    <w:rsid w:val="00CB5A02"/>
    <w:rsid w:val="00CC0AE7"/>
    <w:rsid w:val="00CC10D9"/>
    <w:rsid w:val="00CC1FDA"/>
    <w:rsid w:val="00CC3A9C"/>
    <w:rsid w:val="00CC5E93"/>
    <w:rsid w:val="00CC6EDD"/>
    <w:rsid w:val="00CC7524"/>
    <w:rsid w:val="00CD52EF"/>
    <w:rsid w:val="00CD6000"/>
    <w:rsid w:val="00CE2B7E"/>
    <w:rsid w:val="00CE5498"/>
    <w:rsid w:val="00CE65CB"/>
    <w:rsid w:val="00CE6A9A"/>
    <w:rsid w:val="00CF1BED"/>
    <w:rsid w:val="00CF69E6"/>
    <w:rsid w:val="00D00719"/>
    <w:rsid w:val="00D00D9B"/>
    <w:rsid w:val="00D019E6"/>
    <w:rsid w:val="00D035D1"/>
    <w:rsid w:val="00D047AA"/>
    <w:rsid w:val="00D04E24"/>
    <w:rsid w:val="00D059B1"/>
    <w:rsid w:val="00D06E59"/>
    <w:rsid w:val="00D123CC"/>
    <w:rsid w:val="00D1343D"/>
    <w:rsid w:val="00D149B2"/>
    <w:rsid w:val="00D15D75"/>
    <w:rsid w:val="00D16C91"/>
    <w:rsid w:val="00D16E2C"/>
    <w:rsid w:val="00D174E7"/>
    <w:rsid w:val="00D20C37"/>
    <w:rsid w:val="00D22298"/>
    <w:rsid w:val="00D30D6C"/>
    <w:rsid w:val="00D319C4"/>
    <w:rsid w:val="00D32D00"/>
    <w:rsid w:val="00D41480"/>
    <w:rsid w:val="00D41DEE"/>
    <w:rsid w:val="00D4341F"/>
    <w:rsid w:val="00D5091F"/>
    <w:rsid w:val="00D55679"/>
    <w:rsid w:val="00D56CC3"/>
    <w:rsid w:val="00D57664"/>
    <w:rsid w:val="00D63170"/>
    <w:rsid w:val="00D66C20"/>
    <w:rsid w:val="00D66F3E"/>
    <w:rsid w:val="00D7156C"/>
    <w:rsid w:val="00D75D6E"/>
    <w:rsid w:val="00D81EA2"/>
    <w:rsid w:val="00D85219"/>
    <w:rsid w:val="00D866CD"/>
    <w:rsid w:val="00D86AC0"/>
    <w:rsid w:val="00D87BEF"/>
    <w:rsid w:val="00D91379"/>
    <w:rsid w:val="00D92061"/>
    <w:rsid w:val="00D97F57"/>
    <w:rsid w:val="00DA23E8"/>
    <w:rsid w:val="00DA3916"/>
    <w:rsid w:val="00DA5490"/>
    <w:rsid w:val="00DA63D6"/>
    <w:rsid w:val="00DA647F"/>
    <w:rsid w:val="00DB121E"/>
    <w:rsid w:val="00DB2AB7"/>
    <w:rsid w:val="00DB2EB9"/>
    <w:rsid w:val="00DB6B1D"/>
    <w:rsid w:val="00DB7B22"/>
    <w:rsid w:val="00DC19E8"/>
    <w:rsid w:val="00DC2C29"/>
    <w:rsid w:val="00DC32E4"/>
    <w:rsid w:val="00DC37AA"/>
    <w:rsid w:val="00DC6E55"/>
    <w:rsid w:val="00DC7537"/>
    <w:rsid w:val="00DD091D"/>
    <w:rsid w:val="00DD4184"/>
    <w:rsid w:val="00DD45BA"/>
    <w:rsid w:val="00DD55E0"/>
    <w:rsid w:val="00DD610F"/>
    <w:rsid w:val="00DD73CD"/>
    <w:rsid w:val="00DE140D"/>
    <w:rsid w:val="00DE2238"/>
    <w:rsid w:val="00DE2483"/>
    <w:rsid w:val="00DE347B"/>
    <w:rsid w:val="00DE4D56"/>
    <w:rsid w:val="00DE62DF"/>
    <w:rsid w:val="00DE6A51"/>
    <w:rsid w:val="00DF2991"/>
    <w:rsid w:val="00DF3F1D"/>
    <w:rsid w:val="00DF57B7"/>
    <w:rsid w:val="00DF66F3"/>
    <w:rsid w:val="00DF7501"/>
    <w:rsid w:val="00E01E6B"/>
    <w:rsid w:val="00E02EE3"/>
    <w:rsid w:val="00E0345D"/>
    <w:rsid w:val="00E06436"/>
    <w:rsid w:val="00E0669A"/>
    <w:rsid w:val="00E06A8A"/>
    <w:rsid w:val="00E112D1"/>
    <w:rsid w:val="00E15019"/>
    <w:rsid w:val="00E16E91"/>
    <w:rsid w:val="00E17AE6"/>
    <w:rsid w:val="00E17C18"/>
    <w:rsid w:val="00E20B8E"/>
    <w:rsid w:val="00E23C44"/>
    <w:rsid w:val="00E32CFF"/>
    <w:rsid w:val="00E340E8"/>
    <w:rsid w:val="00E3694A"/>
    <w:rsid w:val="00E36F94"/>
    <w:rsid w:val="00E40AB0"/>
    <w:rsid w:val="00E42431"/>
    <w:rsid w:val="00E43BDC"/>
    <w:rsid w:val="00E44E9C"/>
    <w:rsid w:val="00E45914"/>
    <w:rsid w:val="00E507DA"/>
    <w:rsid w:val="00E51F57"/>
    <w:rsid w:val="00E533DE"/>
    <w:rsid w:val="00E56DA0"/>
    <w:rsid w:val="00E61CBC"/>
    <w:rsid w:val="00E7083D"/>
    <w:rsid w:val="00E73A8B"/>
    <w:rsid w:val="00E777E9"/>
    <w:rsid w:val="00E8154F"/>
    <w:rsid w:val="00E82D9B"/>
    <w:rsid w:val="00E94F2B"/>
    <w:rsid w:val="00EA0E20"/>
    <w:rsid w:val="00EA662E"/>
    <w:rsid w:val="00EB24C7"/>
    <w:rsid w:val="00EB375D"/>
    <w:rsid w:val="00EB3EDE"/>
    <w:rsid w:val="00EB4E79"/>
    <w:rsid w:val="00EB5225"/>
    <w:rsid w:val="00EB59CB"/>
    <w:rsid w:val="00EB60E8"/>
    <w:rsid w:val="00EB66C3"/>
    <w:rsid w:val="00EC1388"/>
    <w:rsid w:val="00EC21E7"/>
    <w:rsid w:val="00EC5084"/>
    <w:rsid w:val="00ED3111"/>
    <w:rsid w:val="00ED3B2B"/>
    <w:rsid w:val="00ED4069"/>
    <w:rsid w:val="00ED427D"/>
    <w:rsid w:val="00ED636C"/>
    <w:rsid w:val="00EE6242"/>
    <w:rsid w:val="00EF04CE"/>
    <w:rsid w:val="00EF0F3E"/>
    <w:rsid w:val="00EF1C64"/>
    <w:rsid w:val="00EF38EA"/>
    <w:rsid w:val="00EF3D0D"/>
    <w:rsid w:val="00EF521B"/>
    <w:rsid w:val="00F00265"/>
    <w:rsid w:val="00F04F0C"/>
    <w:rsid w:val="00F0580A"/>
    <w:rsid w:val="00F05EEF"/>
    <w:rsid w:val="00F2169D"/>
    <w:rsid w:val="00F24434"/>
    <w:rsid w:val="00F2509E"/>
    <w:rsid w:val="00F32962"/>
    <w:rsid w:val="00F355C1"/>
    <w:rsid w:val="00F36A7D"/>
    <w:rsid w:val="00F4298A"/>
    <w:rsid w:val="00F43543"/>
    <w:rsid w:val="00F46506"/>
    <w:rsid w:val="00F53A39"/>
    <w:rsid w:val="00F53A63"/>
    <w:rsid w:val="00F54F5A"/>
    <w:rsid w:val="00F60B7A"/>
    <w:rsid w:val="00F61FB7"/>
    <w:rsid w:val="00F727A5"/>
    <w:rsid w:val="00F76318"/>
    <w:rsid w:val="00F819B3"/>
    <w:rsid w:val="00F81BF0"/>
    <w:rsid w:val="00F87723"/>
    <w:rsid w:val="00F9041C"/>
    <w:rsid w:val="00F90AB6"/>
    <w:rsid w:val="00F9409D"/>
    <w:rsid w:val="00F94284"/>
    <w:rsid w:val="00F95DC0"/>
    <w:rsid w:val="00F96678"/>
    <w:rsid w:val="00FA63AF"/>
    <w:rsid w:val="00FB0F8E"/>
    <w:rsid w:val="00FB1531"/>
    <w:rsid w:val="00FB435E"/>
    <w:rsid w:val="00FB5CA3"/>
    <w:rsid w:val="00FC2502"/>
    <w:rsid w:val="00FC398C"/>
    <w:rsid w:val="00FC39A8"/>
    <w:rsid w:val="00FC5051"/>
    <w:rsid w:val="00FC7688"/>
    <w:rsid w:val="00FD118B"/>
    <w:rsid w:val="00FD339D"/>
    <w:rsid w:val="00FD4C1C"/>
    <w:rsid w:val="00FD651E"/>
    <w:rsid w:val="00FD7AC2"/>
    <w:rsid w:val="00FE5816"/>
    <w:rsid w:val="00FE69B1"/>
    <w:rsid w:val="00FF0AB0"/>
    <w:rsid w:val="00FF2BB5"/>
    <w:rsid w:val="00FF7D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5358B"/>
  <w15:docId w15:val="{B2ACF575-D339-47BF-98EE-738609FFA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3B9"/>
  </w:style>
  <w:style w:type="paragraph" w:styleId="Heading1">
    <w:name w:val="heading 1"/>
    <w:basedOn w:val="Normal"/>
    <w:next w:val="Normal"/>
    <w:link w:val="Heading1Char"/>
    <w:uiPriority w:val="9"/>
    <w:qFormat/>
    <w:rsid w:val="00CC0AE7"/>
    <w:pPr>
      <w:pBdr>
        <w:bottom w:val="single" w:sz="4" w:space="1" w:color="auto"/>
      </w:pBdr>
      <w:outlineLvl w:val="0"/>
    </w:pPr>
    <w:rPr>
      <w:b/>
      <w:sz w:val="32"/>
      <w:szCs w:val="28"/>
    </w:rPr>
  </w:style>
  <w:style w:type="paragraph" w:styleId="Heading2">
    <w:name w:val="heading 2"/>
    <w:basedOn w:val="Normal"/>
    <w:next w:val="Normal"/>
    <w:link w:val="Heading2Char"/>
    <w:uiPriority w:val="9"/>
    <w:unhideWhenUsed/>
    <w:qFormat/>
    <w:rsid w:val="007722F1"/>
    <w:pPr>
      <w:jc w:val="center"/>
      <w:outlineLvl w:val="1"/>
    </w:pPr>
    <w:rPr>
      <w:b/>
      <w:sz w:val="28"/>
      <w:szCs w:val="24"/>
    </w:rPr>
  </w:style>
  <w:style w:type="paragraph" w:styleId="Heading3">
    <w:name w:val="heading 3"/>
    <w:basedOn w:val="Heading2"/>
    <w:next w:val="Normal"/>
    <w:link w:val="Heading3Char"/>
    <w:uiPriority w:val="9"/>
    <w:unhideWhenUsed/>
    <w:qFormat/>
    <w:rsid w:val="00CC0AE7"/>
    <w:pPr>
      <w:spacing w:before="360" w:after="120"/>
      <w:jc w:val="left"/>
      <w:outlineLvl w:val="2"/>
    </w:pPr>
    <w:rPr>
      <w:sz w:val="24"/>
    </w:rPr>
  </w:style>
  <w:style w:type="paragraph" w:styleId="Heading4">
    <w:name w:val="heading 4"/>
    <w:basedOn w:val="Heading3"/>
    <w:next w:val="Normal"/>
    <w:link w:val="Heading4Char"/>
    <w:uiPriority w:val="9"/>
    <w:unhideWhenUsed/>
    <w:qFormat/>
    <w:rsid w:val="000435EB"/>
    <w:pPr>
      <w:outlineLvl w:val="3"/>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2DC"/>
    <w:rPr>
      <w:color w:val="0000FF" w:themeColor="hyperlink"/>
      <w:u w:val="single"/>
    </w:rPr>
  </w:style>
  <w:style w:type="table" w:styleId="TableGrid">
    <w:name w:val="Table Grid"/>
    <w:basedOn w:val="TableNormal"/>
    <w:rsid w:val="00C51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qFormat/>
    <w:rsid w:val="003B483F"/>
    <w:pPr>
      <w:spacing w:after="0" w:line="240" w:lineRule="auto"/>
    </w:pPr>
    <w:rPr>
      <w:sz w:val="20"/>
      <w:szCs w:val="20"/>
    </w:rPr>
  </w:style>
  <w:style w:type="character" w:customStyle="1" w:styleId="FootnoteTextChar">
    <w:name w:val="Footnote Text Char"/>
    <w:basedOn w:val="DefaultParagraphFont"/>
    <w:link w:val="FootnoteText"/>
    <w:rsid w:val="003B483F"/>
    <w:rPr>
      <w:sz w:val="20"/>
      <w:szCs w:val="20"/>
    </w:rPr>
  </w:style>
  <w:style w:type="character" w:styleId="FootnoteReference">
    <w:name w:val="footnote reference"/>
    <w:basedOn w:val="DefaultParagraphFont"/>
    <w:unhideWhenUsed/>
    <w:rsid w:val="003B483F"/>
    <w:rPr>
      <w:vertAlign w:val="superscript"/>
    </w:rPr>
  </w:style>
  <w:style w:type="paragraph" w:styleId="ListParagraph">
    <w:name w:val="List Paragraph"/>
    <w:basedOn w:val="Normal"/>
    <w:uiPriority w:val="34"/>
    <w:qFormat/>
    <w:rsid w:val="00A8324B"/>
    <w:pPr>
      <w:ind w:left="720"/>
      <w:contextualSpacing/>
    </w:pPr>
  </w:style>
  <w:style w:type="paragraph" w:styleId="Header">
    <w:name w:val="header"/>
    <w:basedOn w:val="Normal"/>
    <w:link w:val="HeaderChar"/>
    <w:uiPriority w:val="99"/>
    <w:unhideWhenUsed/>
    <w:rsid w:val="00DB2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AB7"/>
  </w:style>
  <w:style w:type="paragraph" w:styleId="Footer">
    <w:name w:val="footer"/>
    <w:basedOn w:val="Normal"/>
    <w:link w:val="FooterChar"/>
    <w:uiPriority w:val="99"/>
    <w:unhideWhenUsed/>
    <w:rsid w:val="00DB2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AB7"/>
  </w:style>
  <w:style w:type="paragraph" w:styleId="BalloonText">
    <w:name w:val="Balloon Text"/>
    <w:basedOn w:val="Normal"/>
    <w:link w:val="BalloonTextChar"/>
    <w:uiPriority w:val="99"/>
    <w:semiHidden/>
    <w:unhideWhenUsed/>
    <w:rsid w:val="009F5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151"/>
    <w:rPr>
      <w:rFonts w:ascii="Tahoma" w:hAnsi="Tahoma" w:cs="Tahoma"/>
      <w:sz w:val="16"/>
      <w:szCs w:val="16"/>
    </w:rPr>
  </w:style>
  <w:style w:type="paragraph" w:customStyle="1" w:styleId="tabletitle">
    <w:name w:val="table title"/>
    <w:basedOn w:val="Normal"/>
    <w:next w:val="tablerow1"/>
    <w:link w:val="tabletitleChar"/>
    <w:rsid w:val="000013C2"/>
    <w:pPr>
      <w:keepNext/>
      <w:overflowPunct w:val="0"/>
      <w:autoSpaceDE w:val="0"/>
      <w:autoSpaceDN w:val="0"/>
      <w:adjustRightInd w:val="0"/>
      <w:spacing w:before="240" w:after="20" w:line="240" w:lineRule="auto"/>
      <w:ind w:left="720" w:hanging="720"/>
      <w:jc w:val="center"/>
      <w:textAlignment w:val="baseline"/>
    </w:pPr>
    <w:rPr>
      <w:rFonts w:ascii="Arial" w:eastAsia="Times New Roman" w:hAnsi="Arial" w:cs="Times New Roman"/>
      <w:sz w:val="18"/>
      <w:szCs w:val="24"/>
      <w:lang w:eastAsia="en-GB"/>
    </w:rPr>
  </w:style>
  <w:style w:type="paragraph" w:customStyle="1" w:styleId="tablerow1">
    <w:name w:val="table row1"/>
    <w:basedOn w:val="Normal"/>
    <w:link w:val="tablerow1Char"/>
    <w:rsid w:val="000013C2"/>
    <w:pPr>
      <w:overflowPunct w:val="0"/>
      <w:autoSpaceDE w:val="0"/>
      <w:autoSpaceDN w:val="0"/>
      <w:adjustRightInd w:val="0"/>
      <w:spacing w:before="40" w:after="40" w:line="240" w:lineRule="auto"/>
      <w:jc w:val="center"/>
      <w:textAlignment w:val="baseline"/>
    </w:pPr>
    <w:rPr>
      <w:rFonts w:ascii="Arial" w:eastAsia="Times New Roman" w:hAnsi="Arial" w:cs="Arial"/>
      <w:sz w:val="18"/>
      <w:szCs w:val="20"/>
      <w:lang w:eastAsia="en-GB"/>
    </w:rPr>
  </w:style>
  <w:style w:type="character" w:customStyle="1" w:styleId="tabletitleChar">
    <w:name w:val="table title Char"/>
    <w:basedOn w:val="DefaultParagraphFont"/>
    <w:link w:val="tabletitle"/>
    <w:rsid w:val="000013C2"/>
    <w:rPr>
      <w:rFonts w:ascii="Arial" w:eastAsia="Times New Roman" w:hAnsi="Arial" w:cs="Times New Roman"/>
      <w:sz w:val="18"/>
      <w:szCs w:val="24"/>
      <w:lang w:eastAsia="en-GB"/>
    </w:rPr>
  </w:style>
  <w:style w:type="paragraph" w:customStyle="1" w:styleId="maintext">
    <w:name w:val="maintext"/>
    <w:basedOn w:val="Normal"/>
    <w:link w:val="maintextChar"/>
    <w:qFormat/>
    <w:rsid w:val="000013C2"/>
    <w:pPr>
      <w:overflowPunct w:val="0"/>
      <w:autoSpaceDE w:val="0"/>
      <w:autoSpaceDN w:val="0"/>
      <w:adjustRightInd w:val="0"/>
      <w:spacing w:before="120" w:after="120" w:line="240" w:lineRule="auto"/>
      <w:ind w:left="567" w:firstLine="720"/>
      <w:textAlignment w:val="baseline"/>
    </w:pPr>
    <w:rPr>
      <w:rFonts w:ascii="Garamond" w:eastAsia="Times New Roman" w:hAnsi="Garamond" w:cs="Times New Roman"/>
      <w:sz w:val="24"/>
      <w:szCs w:val="24"/>
      <w:lang w:eastAsia="en-GB"/>
    </w:rPr>
  </w:style>
  <w:style w:type="character" w:customStyle="1" w:styleId="maintextChar">
    <w:name w:val="maintext Char"/>
    <w:basedOn w:val="DefaultParagraphFont"/>
    <w:link w:val="maintext"/>
    <w:rsid w:val="000013C2"/>
    <w:rPr>
      <w:rFonts w:ascii="Garamond" w:eastAsia="Times New Roman" w:hAnsi="Garamond" w:cs="Times New Roman"/>
      <w:sz w:val="24"/>
      <w:szCs w:val="24"/>
      <w:lang w:eastAsia="en-GB"/>
    </w:rPr>
  </w:style>
  <w:style w:type="character" w:customStyle="1" w:styleId="Heading1Char">
    <w:name w:val="Heading 1 Char"/>
    <w:basedOn w:val="DefaultParagraphFont"/>
    <w:link w:val="Heading1"/>
    <w:uiPriority w:val="9"/>
    <w:rsid w:val="00CC0AE7"/>
    <w:rPr>
      <w:b/>
      <w:sz w:val="32"/>
      <w:szCs w:val="28"/>
    </w:rPr>
  </w:style>
  <w:style w:type="character" w:customStyle="1" w:styleId="tablerow1Char">
    <w:name w:val="table row1 Char"/>
    <w:basedOn w:val="DefaultParagraphFont"/>
    <w:link w:val="tablerow1"/>
    <w:rsid w:val="00E44E9C"/>
    <w:rPr>
      <w:rFonts w:ascii="Arial" w:eastAsia="Times New Roman" w:hAnsi="Arial" w:cs="Arial"/>
      <w:sz w:val="18"/>
      <w:szCs w:val="20"/>
      <w:lang w:eastAsia="en-GB"/>
    </w:rPr>
  </w:style>
  <w:style w:type="character" w:styleId="CommentReference">
    <w:name w:val="annotation reference"/>
    <w:basedOn w:val="DefaultParagraphFont"/>
    <w:unhideWhenUsed/>
    <w:rsid w:val="00E44E9C"/>
    <w:rPr>
      <w:sz w:val="16"/>
      <w:szCs w:val="16"/>
    </w:rPr>
  </w:style>
  <w:style w:type="paragraph" w:styleId="CommentText">
    <w:name w:val="annotation text"/>
    <w:basedOn w:val="Normal"/>
    <w:link w:val="CommentTextChar"/>
    <w:unhideWhenUsed/>
    <w:rsid w:val="00E44E9C"/>
    <w:pPr>
      <w:spacing w:line="240" w:lineRule="auto"/>
    </w:pPr>
    <w:rPr>
      <w:sz w:val="20"/>
      <w:szCs w:val="20"/>
    </w:rPr>
  </w:style>
  <w:style w:type="character" w:customStyle="1" w:styleId="CommentTextChar">
    <w:name w:val="Comment Text Char"/>
    <w:basedOn w:val="DefaultParagraphFont"/>
    <w:link w:val="CommentText"/>
    <w:rsid w:val="00E44E9C"/>
    <w:rPr>
      <w:sz w:val="20"/>
      <w:szCs w:val="20"/>
    </w:rPr>
  </w:style>
  <w:style w:type="paragraph" w:styleId="CommentSubject">
    <w:name w:val="annotation subject"/>
    <w:basedOn w:val="CommentText"/>
    <w:next w:val="CommentText"/>
    <w:link w:val="CommentSubjectChar"/>
    <w:uiPriority w:val="99"/>
    <w:semiHidden/>
    <w:unhideWhenUsed/>
    <w:rsid w:val="00E44E9C"/>
    <w:rPr>
      <w:b/>
      <w:bCs/>
    </w:rPr>
  </w:style>
  <w:style w:type="character" w:customStyle="1" w:styleId="CommentSubjectChar">
    <w:name w:val="Comment Subject Char"/>
    <w:basedOn w:val="CommentTextChar"/>
    <w:link w:val="CommentSubject"/>
    <w:uiPriority w:val="99"/>
    <w:semiHidden/>
    <w:rsid w:val="00E44E9C"/>
    <w:rPr>
      <w:b/>
      <w:bCs/>
      <w:sz w:val="20"/>
      <w:szCs w:val="20"/>
    </w:rPr>
  </w:style>
  <w:style w:type="paragraph" w:styleId="EndnoteText">
    <w:name w:val="endnote text"/>
    <w:basedOn w:val="Normal"/>
    <w:link w:val="EndnoteTextChar"/>
    <w:uiPriority w:val="99"/>
    <w:semiHidden/>
    <w:unhideWhenUsed/>
    <w:rsid w:val="00E44E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4E9C"/>
    <w:rPr>
      <w:sz w:val="20"/>
      <w:szCs w:val="20"/>
    </w:rPr>
  </w:style>
  <w:style w:type="character" w:styleId="EndnoteReference">
    <w:name w:val="endnote reference"/>
    <w:basedOn w:val="DefaultParagraphFont"/>
    <w:uiPriority w:val="99"/>
    <w:semiHidden/>
    <w:unhideWhenUsed/>
    <w:rsid w:val="00E44E9C"/>
    <w:rPr>
      <w:vertAlign w:val="superscript"/>
    </w:rPr>
  </w:style>
  <w:style w:type="paragraph" w:styleId="Revision">
    <w:name w:val="Revision"/>
    <w:hidden/>
    <w:uiPriority w:val="99"/>
    <w:semiHidden/>
    <w:rsid w:val="00E44E9C"/>
    <w:pPr>
      <w:spacing w:after="0" w:line="240" w:lineRule="auto"/>
    </w:pPr>
  </w:style>
  <w:style w:type="paragraph" w:styleId="NoSpacing">
    <w:name w:val="No Spacing"/>
    <w:uiPriority w:val="1"/>
    <w:qFormat/>
    <w:rsid w:val="00E44E9C"/>
    <w:pPr>
      <w:spacing w:after="0" w:line="240" w:lineRule="auto"/>
    </w:pPr>
  </w:style>
  <w:style w:type="character" w:customStyle="1" w:styleId="Heading2Char">
    <w:name w:val="Heading 2 Char"/>
    <w:basedOn w:val="DefaultParagraphFont"/>
    <w:link w:val="Heading2"/>
    <w:uiPriority w:val="9"/>
    <w:rsid w:val="007722F1"/>
    <w:rPr>
      <w:b/>
      <w:sz w:val="28"/>
      <w:szCs w:val="24"/>
    </w:rPr>
  </w:style>
  <w:style w:type="character" w:customStyle="1" w:styleId="Heading3Char">
    <w:name w:val="Heading 3 Char"/>
    <w:basedOn w:val="DefaultParagraphFont"/>
    <w:link w:val="Heading3"/>
    <w:uiPriority w:val="9"/>
    <w:rsid w:val="00CC0AE7"/>
    <w:rPr>
      <w:b/>
      <w:sz w:val="24"/>
      <w:szCs w:val="24"/>
    </w:rPr>
  </w:style>
  <w:style w:type="paragraph" w:styleId="TOCHeading">
    <w:name w:val="TOC Heading"/>
    <w:basedOn w:val="Heading1"/>
    <w:next w:val="Normal"/>
    <w:uiPriority w:val="39"/>
    <w:unhideWhenUsed/>
    <w:qFormat/>
    <w:rsid w:val="00A520B0"/>
    <w:pPr>
      <w:keepNext/>
      <w:keepLines/>
      <w:pBdr>
        <w:bottom w:val="none" w:sz="0" w:space="0" w:color="auto"/>
      </w:pBdr>
      <w:spacing w:before="480" w:after="0"/>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A520B0"/>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DE6A51"/>
    <w:pPr>
      <w:tabs>
        <w:tab w:val="right" w:leader="dot" w:pos="9016"/>
      </w:tabs>
      <w:spacing w:after="100"/>
    </w:pPr>
    <w:rPr>
      <w:rFonts w:eastAsiaTheme="minorEastAsia"/>
      <w:lang w:val="en-US" w:eastAsia="ja-JP"/>
    </w:rPr>
  </w:style>
  <w:style w:type="paragraph" w:styleId="TOC3">
    <w:name w:val="toc 3"/>
    <w:basedOn w:val="Normal"/>
    <w:next w:val="Normal"/>
    <w:autoRedefine/>
    <w:uiPriority w:val="39"/>
    <w:unhideWhenUsed/>
    <w:qFormat/>
    <w:rsid w:val="00A520B0"/>
    <w:pPr>
      <w:spacing w:after="100"/>
      <w:ind w:left="440"/>
    </w:pPr>
    <w:rPr>
      <w:rFonts w:eastAsiaTheme="minorEastAsia"/>
      <w:lang w:val="en-US" w:eastAsia="ja-JP"/>
    </w:rPr>
  </w:style>
  <w:style w:type="character" w:customStyle="1" w:styleId="Heading4Char">
    <w:name w:val="Heading 4 Char"/>
    <w:basedOn w:val="DefaultParagraphFont"/>
    <w:link w:val="Heading4"/>
    <w:uiPriority w:val="9"/>
    <w:rsid w:val="000435EB"/>
    <w:rPr>
      <w:b/>
      <w:i/>
      <w:sz w:val="24"/>
      <w:szCs w:val="24"/>
    </w:rPr>
  </w:style>
  <w:style w:type="character" w:styleId="Emphasis">
    <w:name w:val="Emphasis"/>
    <w:basedOn w:val="DefaultParagraphFont"/>
    <w:uiPriority w:val="99"/>
    <w:qFormat/>
    <w:rsid w:val="00D174E7"/>
    <w:rPr>
      <w:i/>
      <w:iCs/>
    </w:rPr>
  </w:style>
  <w:style w:type="paragraph" w:customStyle="1" w:styleId="first">
    <w:name w:val="first"/>
    <w:basedOn w:val="maintext"/>
    <w:next w:val="maintext"/>
    <w:link w:val="firstChar"/>
    <w:qFormat/>
    <w:rsid w:val="003D227D"/>
    <w:pPr>
      <w:overflowPunct/>
      <w:autoSpaceDE/>
      <w:autoSpaceDN/>
      <w:adjustRightInd/>
      <w:ind w:left="0" w:firstLine="0"/>
      <w:textAlignment w:val="auto"/>
    </w:pPr>
    <w:rPr>
      <w:rFonts w:eastAsia="Calibri"/>
      <w:szCs w:val="22"/>
      <w:lang w:eastAsia="en-US"/>
    </w:rPr>
  </w:style>
  <w:style w:type="character" w:customStyle="1" w:styleId="firstChar">
    <w:name w:val="first Char"/>
    <w:basedOn w:val="DefaultParagraphFont"/>
    <w:link w:val="first"/>
    <w:rsid w:val="003D227D"/>
    <w:rPr>
      <w:rFonts w:ascii="Garamond" w:eastAsia="Calibri" w:hAnsi="Garamond" w:cs="Times New Roman"/>
      <w:sz w:val="24"/>
    </w:rPr>
  </w:style>
  <w:style w:type="paragraph" w:customStyle="1" w:styleId="Tabletitle0">
    <w:name w:val="Table title"/>
    <w:basedOn w:val="Normal"/>
    <w:qFormat/>
    <w:rsid w:val="00C0670C"/>
    <w:pPr>
      <w:keepNext/>
      <w:keepLines/>
      <w:spacing w:before="40" w:after="40" w:line="240" w:lineRule="auto"/>
      <w:jc w:val="center"/>
    </w:pPr>
    <w:rPr>
      <w:rFonts w:ascii="Arial" w:eastAsia="Calibri" w:hAnsi="Arial" w:cs="Arial"/>
      <w:bCs/>
      <w:noProof/>
      <w:sz w:val="18"/>
      <w:szCs w:val="18"/>
      <w:lang w:eastAsia="en-IE"/>
    </w:rPr>
  </w:style>
  <w:style w:type="paragraph" w:customStyle="1" w:styleId="TableRow">
    <w:name w:val="Table Row"/>
    <w:basedOn w:val="Heading2"/>
    <w:link w:val="TableRowChar"/>
    <w:qFormat/>
    <w:rsid w:val="00C0670C"/>
    <w:pPr>
      <w:keepNext/>
      <w:keepLines/>
      <w:spacing w:before="40" w:after="40" w:line="240" w:lineRule="auto"/>
      <w:jc w:val="left"/>
      <w:outlineLvl w:val="9"/>
    </w:pPr>
    <w:rPr>
      <w:rFonts w:ascii="Arial" w:eastAsia="Calibri" w:hAnsi="Arial" w:cs="Arial"/>
      <w:b w:val="0"/>
      <w:bCs/>
      <w:sz w:val="18"/>
      <w:szCs w:val="18"/>
    </w:rPr>
  </w:style>
  <w:style w:type="character" w:customStyle="1" w:styleId="TableRowChar">
    <w:name w:val="Table Row Char"/>
    <w:basedOn w:val="Heading2Char"/>
    <w:link w:val="TableRow"/>
    <w:rsid w:val="00C0670C"/>
    <w:rPr>
      <w:rFonts w:ascii="Arial" w:eastAsia="Calibri" w:hAnsi="Arial" w:cs="Arial"/>
      <w:b w:val="0"/>
      <w:bCs/>
      <w:sz w:val="18"/>
      <w:szCs w:val="18"/>
    </w:rPr>
  </w:style>
  <w:style w:type="paragraph" w:customStyle="1" w:styleId="tablenote">
    <w:name w:val="tablenote"/>
    <w:basedOn w:val="Normal"/>
    <w:link w:val="tablenoteChar"/>
    <w:rsid w:val="009B2FD7"/>
    <w:pPr>
      <w:spacing w:before="40" w:after="0" w:line="240" w:lineRule="auto"/>
      <w:ind w:left="142"/>
    </w:pPr>
    <w:rPr>
      <w:rFonts w:ascii="Arial" w:eastAsia="PMingLiU" w:hAnsi="Arial" w:cs="Arial"/>
      <w:sz w:val="16"/>
      <w:szCs w:val="16"/>
      <w:lang w:val="en-GB"/>
    </w:rPr>
  </w:style>
  <w:style w:type="character" w:customStyle="1" w:styleId="tablenoteChar">
    <w:name w:val="tablenote Char"/>
    <w:basedOn w:val="DefaultParagraphFont"/>
    <w:link w:val="tablenote"/>
    <w:rsid w:val="009B2FD7"/>
    <w:rPr>
      <w:rFonts w:ascii="Arial" w:eastAsia="PMingLiU" w:hAnsi="Arial" w:cs="Arial"/>
      <w:sz w:val="16"/>
      <w:szCs w:val="16"/>
      <w:lang w:val="en-GB"/>
    </w:rPr>
  </w:style>
  <w:style w:type="character" w:styleId="FollowedHyperlink">
    <w:name w:val="FollowedHyperlink"/>
    <w:basedOn w:val="DefaultParagraphFont"/>
    <w:uiPriority w:val="99"/>
    <w:semiHidden/>
    <w:unhideWhenUsed/>
    <w:rsid w:val="00C839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8879">
      <w:bodyDiv w:val="1"/>
      <w:marLeft w:val="0"/>
      <w:marRight w:val="0"/>
      <w:marTop w:val="0"/>
      <w:marBottom w:val="0"/>
      <w:divBdr>
        <w:top w:val="none" w:sz="0" w:space="0" w:color="auto"/>
        <w:left w:val="none" w:sz="0" w:space="0" w:color="auto"/>
        <w:bottom w:val="none" w:sz="0" w:space="0" w:color="auto"/>
        <w:right w:val="none" w:sz="0" w:space="0" w:color="auto"/>
      </w:divBdr>
    </w:div>
    <w:div w:id="400522530">
      <w:bodyDiv w:val="1"/>
      <w:marLeft w:val="0"/>
      <w:marRight w:val="0"/>
      <w:marTop w:val="0"/>
      <w:marBottom w:val="0"/>
      <w:divBdr>
        <w:top w:val="none" w:sz="0" w:space="0" w:color="auto"/>
        <w:left w:val="none" w:sz="0" w:space="0" w:color="auto"/>
        <w:bottom w:val="none" w:sz="0" w:space="0" w:color="auto"/>
        <w:right w:val="none" w:sz="0" w:space="0" w:color="auto"/>
      </w:divBdr>
      <w:divsChild>
        <w:div w:id="326249439">
          <w:marLeft w:val="0"/>
          <w:marRight w:val="0"/>
          <w:marTop w:val="0"/>
          <w:marBottom w:val="0"/>
          <w:divBdr>
            <w:top w:val="none" w:sz="0" w:space="0" w:color="auto"/>
            <w:left w:val="none" w:sz="0" w:space="0" w:color="auto"/>
            <w:bottom w:val="none" w:sz="0" w:space="0" w:color="auto"/>
            <w:right w:val="none" w:sz="0" w:space="0" w:color="auto"/>
          </w:divBdr>
          <w:divsChild>
            <w:div w:id="1186556269">
              <w:marLeft w:val="0"/>
              <w:marRight w:val="0"/>
              <w:marTop w:val="0"/>
              <w:marBottom w:val="0"/>
              <w:divBdr>
                <w:top w:val="none" w:sz="0" w:space="0" w:color="auto"/>
                <w:left w:val="none" w:sz="0" w:space="0" w:color="auto"/>
                <w:bottom w:val="none" w:sz="0" w:space="0" w:color="auto"/>
                <w:right w:val="none" w:sz="0" w:space="0" w:color="auto"/>
              </w:divBdr>
              <w:divsChild>
                <w:div w:id="2130273149">
                  <w:marLeft w:val="0"/>
                  <w:marRight w:val="0"/>
                  <w:marTop w:val="0"/>
                  <w:marBottom w:val="0"/>
                  <w:divBdr>
                    <w:top w:val="none" w:sz="0" w:space="0" w:color="auto"/>
                    <w:left w:val="none" w:sz="0" w:space="0" w:color="auto"/>
                    <w:bottom w:val="none" w:sz="0" w:space="0" w:color="auto"/>
                    <w:right w:val="none" w:sz="0" w:space="0" w:color="auto"/>
                  </w:divBdr>
                  <w:divsChild>
                    <w:div w:id="2050884111">
                      <w:marLeft w:val="0"/>
                      <w:marRight w:val="0"/>
                      <w:marTop w:val="0"/>
                      <w:marBottom w:val="0"/>
                      <w:divBdr>
                        <w:top w:val="none" w:sz="0" w:space="0" w:color="auto"/>
                        <w:left w:val="none" w:sz="0" w:space="0" w:color="auto"/>
                        <w:bottom w:val="none" w:sz="0" w:space="0" w:color="auto"/>
                        <w:right w:val="none" w:sz="0" w:space="0" w:color="auto"/>
                      </w:divBdr>
                      <w:divsChild>
                        <w:div w:id="1832288061">
                          <w:marLeft w:val="0"/>
                          <w:marRight w:val="0"/>
                          <w:marTop w:val="0"/>
                          <w:marBottom w:val="0"/>
                          <w:divBdr>
                            <w:top w:val="none" w:sz="0" w:space="0" w:color="auto"/>
                            <w:left w:val="none" w:sz="0" w:space="0" w:color="auto"/>
                            <w:bottom w:val="none" w:sz="0" w:space="0" w:color="auto"/>
                            <w:right w:val="none" w:sz="0" w:space="0" w:color="auto"/>
                          </w:divBdr>
                          <w:divsChild>
                            <w:div w:id="164440553">
                              <w:marLeft w:val="0"/>
                              <w:marRight w:val="0"/>
                              <w:marTop w:val="0"/>
                              <w:marBottom w:val="0"/>
                              <w:divBdr>
                                <w:top w:val="none" w:sz="0" w:space="0" w:color="auto"/>
                                <w:left w:val="none" w:sz="0" w:space="0" w:color="auto"/>
                                <w:bottom w:val="none" w:sz="0" w:space="0" w:color="auto"/>
                                <w:right w:val="none" w:sz="0" w:space="0" w:color="auto"/>
                              </w:divBdr>
                              <w:divsChild>
                                <w:div w:id="7722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920203">
      <w:bodyDiv w:val="1"/>
      <w:marLeft w:val="0"/>
      <w:marRight w:val="0"/>
      <w:marTop w:val="0"/>
      <w:marBottom w:val="0"/>
      <w:divBdr>
        <w:top w:val="none" w:sz="0" w:space="0" w:color="auto"/>
        <w:left w:val="none" w:sz="0" w:space="0" w:color="auto"/>
        <w:bottom w:val="none" w:sz="0" w:space="0" w:color="auto"/>
        <w:right w:val="none" w:sz="0" w:space="0" w:color="auto"/>
      </w:divBdr>
    </w:div>
    <w:div w:id="1521771130">
      <w:bodyDiv w:val="1"/>
      <w:marLeft w:val="0"/>
      <w:marRight w:val="0"/>
      <w:marTop w:val="0"/>
      <w:marBottom w:val="0"/>
      <w:divBdr>
        <w:top w:val="none" w:sz="0" w:space="0" w:color="auto"/>
        <w:left w:val="none" w:sz="0" w:space="0" w:color="auto"/>
        <w:bottom w:val="none" w:sz="0" w:space="0" w:color="auto"/>
        <w:right w:val="none" w:sz="0" w:space="0" w:color="auto"/>
      </w:divBdr>
    </w:div>
    <w:div w:id="1841001148">
      <w:bodyDiv w:val="1"/>
      <w:marLeft w:val="0"/>
      <w:marRight w:val="0"/>
      <w:marTop w:val="0"/>
      <w:marBottom w:val="0"/>
      <w:divBdr>
        <w:top w:val="none" w:sz="0" w:space="0" w:color="auto"/>
        <w:left w:val="none" w:sz="0" w:space="0" w:color="auto"/>
        <w:bottom w:val="none" w:sz="0" w:space="0" w:color="auto"/>
        <w:right w:val="none" w:sz="0" w:space="0" w:color="auto"/>
      </w:divBdr>
    </w:div>
    <w:div w:id="19666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ie" TargetMode="External"/><Relationship Id="rId13" Type="http://schemas.openxmlformats.org/officeDocument/2006/relationships/hyperlink" Target="http://www.erc.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LS@erc.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raine.gilleece@erc.i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emer.eivers@erc.ie" TargetMode="External"/><Relationship Id="rId4" Type="http://schemas.openxmlformats.org/officeDocument/2006/relationships/settings" Target="settings.xml"/><Relationship Id="rId9" Type="http://schemas.openxmlformats.org/officeDocument/2006/relationships/hyperlink" Target="http://www.erc.ie/tim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04A95-D647-41C8-AB98-A13D9D03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1786</Words>
  <Characters>10184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Educational Research Centre</Company>
  <LinksUpToDate>false</LinksUpToDate>
  <CharactersWithSpaces>11947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 Clerkin</dc:creator>
  <cp:lastModifiedBy>O'Neill, Sarah</cp:lastModifiedBy>
  <cp:revision>2</cp:revision>
  <cp:lastPrinted>2017-11-30T16:39:00Z</cp:lastPrinted>
  <dcterms:created xsi:type="dcterms:W3CDTF">2017-11-30T17:01:00Z</dcterms:created>
  <dcterms:modified xsi:type="dcterms:W3CDTF">2017-11-30T17:01:00Z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